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C0C35" w14:textId="42951A2B" w:rsidR="00B335EB" w:rsidRPr="00B335EB" w:rsidRDefault="00B335EB" w:rsidP="00B335EB">
      <w:pPr>
        <w:pStyle w:val="Header"/>
        <w:tabs>
          <w:tab w:val="right" w:pos="9864"/>
        </w:tabs>
        <w:rPr>
          <w:rFonts w:ascii="Arial" w:hAnsi="Arial" w:cs="Arial"/>
          <w:bCs/>
          <w:sz w:val="24"/>
          <w:szCs w:val="24"/>
        </w:rPr>
      </w:pPr>
      <w:r w:rsidRPr="00B335EB">
        <w:rPr>
          <w:rFonts w:ascii="Arial" w:hAnsi="Arial" w:cs="Arial"/>
          <w:bCs/>
          <w:sz w:val="24"/>
          <w:szCs w:val="24"/>
        </w:rPr>
        <w:t>3GPP TSG-RAN WG4 Meeting # 98</w:t>
      </w:r>
      <w:r w:rsidR="000B1EEB">
        <w:rPr>
          <w:rFonts w:ascii="Arial" w:hAnsi="Arial" w:cs="Arial"/>
          <w:bCs/>
          <w:sz w:val="24"/>
          <w:szCs w:val="24"/>
        </w:rPr>
        <w:t>bis</w:t>
      </w:r>
      <w:r w:rsidRPr="00B335EB">
        <w:rPr>
          <w:rFonts w:ascii="Arial" w:hAnsi="Arial" w:cs="Arial"/>
          <w:bCs/>
          <w:sz w:val="24"/>
          <w:szCs w:val="24"/>
        </w:rPr>
        <w:t xml:space="preserve">-e </w:t>
      </w:r>
      <w:r w:rsidRPr="00B335EB">
        <w:rPr>
          <w:rFonts w:ascii="Arial" w:hAnsi="Arial" w:cs="Arial"/>
          <w:bCs/>
          <w:sz w:val="24"/>
          <w:szCs w:val="24"/>
        </w:rPr>
        <w:tab/>
      </w:r>
      <w:r w:rsidRPr="00B335EB">
        <w:rPr>
          <w:rFonts w:ascii="Arial" w:hAnsi="Arial" w:cs="Arial"/>
          <w:bCs/>
          <w:sz w:val="24"/>
          <w:szCs w:val="24"/>
        </w:rPr>
        <w:tab/>
      </w:r>
      <w:r w:rsidR="00F31D51" w:rsidRPr="00F31D51">
        <w:rPr>
          <w:rFonts w:ascii="Arial" w:hAnsi="Arial" w:cs="Arial"/>
          <w:bCs/>
          <w:sz w:val="24"/>
          <w:szCs w:val="24"/>
        </w:rPr>
        <w:t>R4-2104696</w:t>
      </w:r>
    </w:p>
    <w:p w14:paraId="426519AF" w14:textId="3D0E5DA6" w:rsidR="001B17CD" w:rsidRPr="00D43AD7" w:rsidRDefault="00B335EB" w:rsidP="00B335EB">
      <w:pPr>
        <w:pStyle w:val="Header"/>
        <w:tabs>
          <w:tab w:val="clear" w:pos="8306"/>
          <w:tab w:val="right" w:pos="9864"/>
        </w:tabs>
        <w:spacing w:after="120"/>
        <w:rPr>
          <w:rFonts w:ascii="Arial" w:hAnsi="Arial" w:cs="Arial"/>
          <w:sz w:val="24"/>
        </w:rPr>
      </w:pPr>
      <w:r w:rsidRPr="00B335EB">
        <w:rPr>
          <w:rFonts w:ascii="Arial" w:hAnsi="Arial" w:cs="Arial"/>
          <w:bCs/>
          <w:sz w:val="24"/>
          <w:szCs w:val="24"/>
        </w:rPr>
        <w:t xml:space="preserve">Electronic Meeting, </w:t>
      </w:r>
      <w:r w:rsidR="000B1EEB">
        <w:rPr>
          <w:rFonts w:ascii="Arial" w:hAnsi="Arial" w:cs="Arial"/>
          <w:bCs/>
          <w:sz w:val="24"/>
          <w:szCs w:val="24"/>
        </w:rPr>
        <w:t xml:space="preserve">12-20 </w:t>
      </w:r>
      <w:r w:rsidR="00444D16">
        <w:rPr>
          <w:rFonts w:ascii="Arial" w:hAnsi="Arial" w:cs="Arial"/>
          <w:bCs/>
          <w:sz w:val="24"/>
          <w:szCs w:val="24"/>
        </w:rPr>
        <w:t>April</w:t>
      </w:r>
      <w:r w:rsidRPr="00B335EB">
        <w:rPr>
          <w:rFonts w:ascii="Arial" w:hAnsi="Arial" w:cs="Arial"/>
          <w:bCs/>
          <w:sz w:val="24"/>
          <w:szCs w:val="24"/>
        </w:rPr>
        <w:t xml:space="preserve"> 2021</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426E544E"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sidR="00AD758A">
        <w:rPr>
          <w:rFonts w:ascii="Arial" w:hAnsi="Arial" w:cs="Arial"/>
        </w:rPr>
        <w:t>, Ericsson</w:t>
      </w:r>
    </w:p>
    <w:p w14:paraId="540E6165" w14:textId="10B35F51"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43443" w:rsidRPr="00843443">
        <w:rPr>
          <w:rFonts w:ascii="Arial" w:hAnsi="Arial" w:cs="Arial"/>
        </w:rPr>
        <w:t>REFSENS and EIS spherical coverage for PC1, PC2, PC4 for n262</w:t>
      </w:r>
      <w:r w:rsidR="00A15212">
        <w:rPr>
          <w:rFonts w:ascii="Arial" w:hAnsi="Arial" w:cs="Arial"/>
        </w:rPr>
        <w:t xml:space="preserve"> </w:t>
      </w:r>
    </w:p>
    <w:p w14:paraId="46BB346F" w14:textId="47AB1779" w:rsidR="001B17CD" w:rsidRPr="008A1DC8" w:rsidRDefault="001B17CD" w:rsidP="001B17CD">
      <w:pPr>
        <w:spacing w:after="120"/>
        <w:ind w:left="1985" w:hanging="1985"/>
        <w:rPr>
          <w:rFonts w:ascii="Arial" w:hAnsi="Arial" w:cs="Arial"/>
          <w:bCs/>
        </w:rPr>
      </w:pPr>
      <w:r w:rsidRPr="008A1DC8">
        <w:rPr>
          <w:rFonts w:ascii="Arial" w:hAnsi="Arial" w:cs="Arial"/>
          <w:b/>
        </w:rPr>
        <w:t>Agenda item:</w:t>
      </w:r>
      <w:r w:rsidRPr="008A1DC8">
        <w:rPr>
          <w:rFonts w:ascii="Arial" w:hAnsi="Arial" w:cs="Arial"/>
          <w:b/>
        </w:rPr>
        <w:tab/>
      </w:r>
      <w:r w:rsidR="000B1EEB">
        <w:rPr>
          <w:rFonts w:ascii="Arial" w:hAnsi="Arial" w:cs="Arial"/>
        </w:rPr>
        <w:t>7</w:t>
      </w:r>
      <w:r w:rsidR="00563C26" w:rsidRPr="00C62B48">
        <w:rPr>
          <w:rFonts w:ascii="Arial" w:hAnsi="Arial" w:cs="Arial"/>
        </w:rPr>
        <w:t>.2</w:t>
      </w:r>
      <w:r w:rsidR="00843443">
        <w:rPr>
          <w:rFonts w:ascii="Arial" w:hAnsi="Arial" w:cs="Arial"/>
        </w:rPr>
        <w:t>7</w:t>
      </w:r>
      <w:r w:rsidR="00563C26" w:rsidRPr="00C62B48">
        <w:rPr>
          <w:rFonts w:ascii="Arial" w:hAnsi="Arial" w:cs="Arial"/>
        </w:rPr>
        <w:t>.1.</w:t>
      </w:r>
      <w:r w:rsidR="00CD4F2E">
        <w:rPr>
          <w:rFonts w:ascii="Arial" w:hAnsi="Arial" w:cs="Arial"/>
        </w:rPr>
        <w:t>3</w:t>
      </w:r>
    </w:p>
    <w:p w14:paraId="12B3F2E2" w14:textId="5FF366E3"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692091">
        <w:rPr>
          <w:rFonts w:ascii="Arial" w:hAnsi="Arial" w:cs="Arial"/>
          <w:bCs/>
        </w:rPr>
        <w:t>Approval</w:t>
      </w:r>
      <w:bookmarkStart w:id="0" w:name="_GoBack"/>
      <w:bookmarkEnd w:id="0"/>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1E0383C5" w14:textId="2C076FF7" w:rsidR="009F34C0" w:rsidRDefault="00D926A7" w:rsidP="00692091">
      <w:pPr>
        <w:jc w:val="both"/>
      </w:pPr>
      <w:r>
        <w:t xml:space="preserve">The work item </w:t>
      </w:r>
      <w:r w:rsidR="005F6A2B">
        <w:t xml:space="preserve">description: </w:t>
      </w:r>
      <w:r>
        <w:t>introduc</w:t>
      </w:r>
      <w:r w:rsidR="005F6A2B">
        <w:t>tion of NR</w:t>
      </w:r>
      <w:r w:rsidR="00C36DF2">
        <w:t xml:space="preserve"> 47GHz</w:t>
      </w:r>
      <w:r>
        <w:t xml:space="preserve"> band</w:t>
      </w:r>
      <w:r w:rsidR="00C36DF2">
        <w:t xml:space="preserve"> </w:t>
      </w:r>
      <w:r w:rsidR="005F6A2B">
        <w:fldChar w:fldCharType="begin"/>
      </w:r>
      <w:r w:rsidR="005F6A2B">
        <w:instrText xml:space="preserve"> REF _Ref68018353 \r \h </w:instrText>
      </w:r>
      <w:r w:rsidR="005F6A2B">
        <w:fldChar w:fldCharType="separate"/>
      </w:r>
      <w:r w:rsidR="00D7519F">
        <w:t>[1]</w:t>
      </w:r>
      <w:r w:rsidR="005F6A2B">
        <w:fldChar w:fldCharType="end"/>
      </w:r>
      <w:r w:rsidR="005F6A2B">
        <w:t xml:space="preserve"> was updated in RAN #91-e to </w:t>
      </w:r>
      <w:r w:rsidR="00C727E9">
        <w:t xml:space="preserve">clarify that </w:t>
      </w:r>
      <w:r w:rsidR="005F6A2B">
        <w:t>PC1, PC2, PC3 and PC4</w:t>
      </w:r>
      <w:r w:rsidR="00C727E9" w:rsidRPr="00C727E9">
        <w:t xml:space="preserve"> </w:t>
      </w:r>
      <w:r w:rsidR="00C727E9">
        <w:t>are included</w:t>
      </w:r>
      <w:r w:rsidR="005F6A2B">
        <w:t xml:space="preserve">. UE RF core requirements for UE </w:t>
      </w:r>
      <w:r w:rsidR="009F34C0">
        <w:t>PC</w:t>
      </w:r>
      <w:r w:rsidR="005F6A2B">
        <w:t>3 was concluded in RAN4 #98-e</w:t>
      </w:r>
      <w:r w:rsidR="009F34C0">
        <w:t xml:space="preserve"> </w:t>
      </w:r>
      <w:r w:rsidR="009F34C0">
        <w:fldChar w:fldCharType="begin"/>
      </w:r>
      <w:r w:rsidR="009F34C0">
        <w:instrText xml:space="preserve"> REF _Ref68018987 \r \h </w:instrText>
      </w:r>
      <w:r w:rsidR="009F34C0">
        <w:fldChar w:fldCharType="separate"/>
      </w:r>
      <w:r w:rsidR="00D7519F">
        <w:t>[2]</w:t>
      </w:r>
      <w:r w:rsidR="009F34C0">
        <w:fldChar w:fldCharType="end"/>
      </w:r>
      <w:r w:rsidR="009F34C0">
        <w:t xml:space="preserve"> and thus, requirements for PC1, PC2 and PC4 remain. </w:t>
      </w:r>
    </w:p>
    <w:p w14:paraId="7A245F17" w14:textId="77777777" w:rsidR="00C37927" w:rsidRDefault="00C37927" w:rsidP="00692091">
      <w:pPr>
        <w:jc w:val="both"/>
      </w:pPr>
    </w:p>
    <w:p w14:paraId="01DF0D59" w14:textId="41DFEDD5" w:rsidR="00164028" w:rsidRDefault="00C37927" w:rsidP="00692091">
      <w:pPr>
        <w:jc w:val="both"/>
      </w:pPr>
      <w:r>
        <w:t>I</w:t>
      </w:r>
      <w:r w:rsidR="00164028">
        <w:t xml:space="preserve">n the </w:t>
      </w:r>
      <w:r w:rsidR="00164028" w:rsidRPr="00164028">
        <w:t>Status Report to TSG</w:t>
      </w:r>
      <w:r w:rsidR="00164028">
        <w:t xml:space="preserve"> </w:t>
      </w:r>
      <w:r>
        <w:fldChar w:fldCharType="begin"/>
      </w:r>
      <w:r>
        <w:instrText xml:space="preserve"> REF _Ref68019685 \r \h </w:instrText>
      </w:r>
      <w:r>
        <w:fldChar w:fldCharType="separate"/>
      </w:r>
      <w:r w:rsidR="00D7519F">
        <w:t>[3]</w:t>
      </w:r>
      <w:r>
        <w:fldChar w:fldCharType="end"/>
      </w:r>
      <w:r w:rsidR="00164028">
        <w:t xml:space="preserve"> </w:t>
      </w:r>
      <w:r w:rsidR="008E102C">
        <w:t xml:space="preserve">the </w:t>
      </w:r>
      <w:r>
        <w:t>remaining items are listed</w:t>
      </w:r>
      <w:r w:rsidR="008E102C">
        <w:t xml:space="preserve"> as</w:t>
      </w:r>
      <w:r w:rsidR="00164028">
        <w:t>:</w:t>
      </w:r>
    </w:p>
    <w:p w14:paraId="5817472A" w14:textId="77777777" w:rsidR="008E102C" w:rsidRDefault="008E102C" w:rsidP="00692091">
      <w:pPr>
        <w:jc w:val="both"/>
      </w:pPr>
    </w:p>
    <w:p w14:paraId="23FE958F" w14:textId="77777777" w:rsidR="00ED31B3" w:rsidRDefault="00ED31B3" w:rsidP="00ED31B3">
      <w:pPr>
        <w:pStyle w:val="ListParagraph"/>
        <w:widowControl w:val="0"/>
        <w:numPr>
          <w:ilvl w:val="0"/>
          <w:numId w:val="36"/>
        </w:numPr>
        <w:overflowPunct/>
        <w:autoSpaceDE/>
        <w:autoSpaceDN/>
        <w:adjustRightInd/>
        <w:spacing w:after="0" w:line="256" w:lineRule="auto"/>
        <w:contextualSpacing w:val="0"/>
        <w:jc w:val="both"/>
        <w:textAlignment w:val="auto"/>
      </w:pPr>
      <w:r>
        <w:t>Whether PTRS is configured for UE Tx EVM measurement or not.</w:t>
      </w:r>
    </w:p>
    <w:p w14:paraId="78BC5C7F" w14:textId="77777777" w:rsidR="00ED31B3" w:rsidRDefault="00ED31B3" w:rsidP="00ED31B3">
      <w:pPr>
        <w:pStyle w:val="ListParagraph"/>
        <w:widowControl w:val="0"/>
        <w:numPr>
          <w:ilvl w:val="0"/>
          <w:numId w:val="36"/>
        </w:numPr>
        <w:overflowPunct/>
        <w:autoSpaceDE/>
        <w:autoSpaceDN/>
        <w:adjustRightInd/>
        <w:spacing w:after="0" w:line="256" w:lineRule="auto"/>
        <w:contextualSpacing w:val="0"/>
        <w:jc w:val="both"/>
        <w:textAlignment w:val="auto"/>
      </w:pPr>
      <w:r w:rsidRPr="00C37927">
        <w:rPr>
          <w:highlight w:val="yellow"/>
        </w:rPr>
        <w:t>UE RF core requirements for UE power class 1, 2 and 4.</w:t>
      </w:r>
    </w:p>
    <w:p w14:paraId="6D357443" w14:textId="77777777" w:rsidR="00ED31B3" w:rsidRDefault="00ED31B3" w:rsidP="00ED31B3">
      <w:pPr>
        <w:pStyle w:val="ListParagraph"/>
        <w:widowControl w:val="0"/>
        <w:numPr>
          <w:ilvl w:val="0"/>
          <w:numId w:val="36"/>
        </w:numPr>
        <w:overflowPunct/>
        <w:autoSpaceDE/>
        <w:autoSpaceDN/>
        <w:adjustRightInd/>
        <w:spacing w:after="0" w:line="256" w:lineRule="auto"/>
        <w:contextualSpacing w:val="0"/>
        <w:jc w:val="both"/>
        <w:textAlignment w:val="auto"/>
      </w:pPr>
      <w:r>
        <w:t>MU/TT budget for BS Rx RF conformance requirement</w:t>
      </w:r>
    </w:p>
    <w:p w14:paraId="36BA1F8F" w14:textId="77777777" w:rsidR="00ED31B3" w:rsidRDefault="00ED31B3" w:rsidP="00ED31B3">
      <w:pPr>
        <w:pStyle w:val="ListParagraph"/>
        <w:widowControl w:val="0"/>
        <w:numPr>
          <w:ilvl w:val="0"/>
          <w:numId w:val="36"/>
        </w:numPr>
        <w:overflowPunct/>
        <w:autoSpaceDE/>
        <w:autoSpaceDN/>
        <w:adjustRightInd/>
        <w:spacing w:after="0" w:line="256" w:lineRule="auto"/>
        <w:contextualSpacing w:val="0"/>
        <w:jc w:val="both"/>
        <w:textAlignment w:val="auto"/>
      </w:pPr>
      <w:r>
        <w:t>RRM CR drafting aligned with RF requirement</w:t>
      </w:r>
    </w:p>
    <w:p w14:paraId="1D59761C" w14:textId="77777777" w:rsidR="00ED31B3" w:rsidRDefault="00ED31B3" w:rsidP="00ED31B3">
      <w:pPr>
        <w:pStyle w:val="ListParagraph"/>
        <w:widowControl w:val="0"/>
        <w:numPr>
          <w:ilvl w:val="0"/>
          <w:numId w:val="36"/>
        </w:numPr>
        <w:overflowPunct/>
        <w:autoSpaceDE/>
        <w:autoSpaceDN/>
        <w:adjustRightInd/>
        <w:spacing w:after="0" w:line="256" w:lineRule="auto"/>
        <w:contextualSpacing w:val="0"/>
        <w:jc w:val="both"/>
        <w:textAlignment w:val="auto"/>
      </w:pPr>
      <w:r>
        <w:t xml:space="preserve">UE </w:t>
      </w:r>
      <w:proofErr w:type="spellStart"/>
      <w:r>
        <w:t>Demod</w:t>
      </w:r>
      <w:proofErr w:type="spellEnd"/>
      <w:r>
        <w:t xml:space="preserve"> requirement (whether PN model is revisited or not, </w:t>
      </w:r>
      <w:proofErr w:type="spellStart"/>
      <w:r>
        <w:t>etc</w:t>
      </w:r>
      <w:proofErr w:type="spellEnd"/>
      <w:r>
        <w:t>)</w:t>
      </w:r>
    </w:p>
    <w:p w14:paraId="2D5217E5" w14:textId="0C14DCC1" w:rsidR="00164028" w:rsidRPr="00164028" w:rsidRDefault="00ED31B3" w:rsidP="00ED31B3">
      <w:pPr>
        <w:pStyle w:val="ListParagraph"/>
        <w:widowControl w:val="0"/>
        <w:numPr>
          <w:ilvl w:val="0"/>
          <w:numId w:val="36"/>
        </w:numPr>
        <w:overflowPunct/>
        <w:autoSpaceDE/>
        <w:autoSpaceDN/>
        <w:adjustRightInd/>
        <w:spacing w:after="0" w:line="256" w:lineRule="auto"/>
        <w:contextualSpacing w:val="0"/>
        <w:jc w:val="both"/>
        <w:textAlignment w:val="auto"/>
        <w:rPr>
          <w:rFonts w:ascii="Century" w:hAnsi="Century"/>
          <w:sz w:val="21"/>
          <w:szCs w:val="22"/>
        </w:rPr>
      </w:pPr>
      <w:r>
        <w:t xml:space="preserve">BS </w:t>
      </w:r>
      <w:proofErr w:type="spellStart"/>
      <w:r>
        <w:t>Demod</w:t>
      </w:r>
      <w:proofErr w:type="spellEnd"/>
      <w:r>
        <w:t xml:space="preserve"> requirement and test feasibility (link budget/test configuration)</w:t>
      </w:r>
    </w:p>
    <w:p w14:paraId="30B0DAC9" w14:textId="77777777" w:rsidR="00A15212" w:rsidRDefault="00A15212" w:rsidP="00692091">
      <w:pPr>
        <w:jc w:val="both"/>
      </w:pPr>
    </w:p>
    <w:p w14:paraId="0BC61C2D" w14:textId="7EAE4D03" w:rsidR="00A15212" w:rsidRDefault="00A15212" w:rsidP="00692091">
      <w:pPr>
        <w:jc w:val="both"/>
      </w:pPr>
      <w:r>
        <w:t xml:space="preserve">In this contribution we </w:t>
      </w:r>
      <w:r w:rsidR="00414CE9">
        <w:t xml:space="preserve">provide our inputs to </w:t>
      </w:r>
      <w:r w:rsidR="005F5D3B">
        <w:t>r</w:t>
      </w:r>
      <w:r w:rsidR="005F5D3B" w:rsidRPr="00C04A08">
        <w:t>eference sensitivity power level</w:t>
      </w:r>
      <w:r w:rsidR="005F5D3B">
        <w:t xml:space="preserve"> (</w:t>
      </w:r>
      <w:r w:rsidR="00F31D51" w:rsidRPr="00F31D51">
        <w:t>REFSENS</w:t>
      </w:r>
      <w:r w:rsidR="005F5D3B">
        <w:t>)</w:t>
      </w:r>
      <w:r w:rsidR="00F31D51" w:rsidRPr="00F31D51">
        <w:t xml:space="preserve"> and EIS spherical coverage for PC1, PC2, PC4 for n262</w:t>
      </w:r>
      <w:r w:rsidR="00F31D51">
        <w:t xml:space="preserve">. </w:t>
      </w:r>
      <w:r w:rsidR="00164028">
        <w:t>Minimum P</w:t>
      </w:r>
      <w:r w:rsidR="0026689B" w:rsidRPr="0026689B">
        <w:t>eak EIRP</w:t>
      </w:r>
      <w:r w:rsidR="001405FE">
        <w:t xml:space="preserve"> and</w:t>
      </w:r>
      <w:r w:rsidR="0026689B" w:rsidRPr="0026689B">
        <w:t xml:space="preserve"> EIRP spherical coverage</w:t>
      </w:r>
      <w:r w:rsidR="00C37927">
        <w:t xml:space="preserve"> for PC1, PC2 and PC4</w:t>
      </w:r>
      <w:r w:rsidR="00C727E9">
        <w:t xml:space="preserve"> are</w:t>
      </w:r>
      <w:r w:rsidR="00712F3D" w:rsidRPr="0060405B">
        <w:t xml:space="preserve"> </w:t>
      </w:r>
      <w:r w:rsidR="00712F3D">
        <w:t xml:space="preserve">discussed in </w:t>
      </w:r>
      <w:r w:rsidR="00712F3D">
        <w:fldChar w:fldCharType="begin"/>
      </w:r>
      <w:r w:rsidR="00712F3D">
        <w:instrText xml:space="preserve"> REF _Ref61436654 \r \h </w:instrText>
      </w:r>
      <w:r w:rsidR="00712F3D">
        <w:fldChar w:fldCharType="separate"/>
      </w:r>
      <w:r w:rsidR="00D7519F">
        <w:t>[7]</w:t>
      </w:r>
      <w:r w:rsidR="00712F3D">
        <w:fldChar w:fldCharType="end"/>
      </w:r>
    </w:p>
    <w:p w14:paraId="53FFECCB" w14:textId="06E631F4" w:rsidR="00944F6F" w:rsidRPr="00A374CD" w:rsidRDefault="00F31D51" w:rsidP="00B3366D">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Receiver</w:t>
      </w:r>
      <w:r w:rsidR="0075425A">
        <w:rPr>
          <w:rFonts w:ascii="Arial" w:hAnsi="Arial"/>
          <w:sz w:val="36"/>
          <w:lang w:eastAsia="zh-CN"/>
        </w:rPr>
        <w:t xml:space="preserve">, </w:t>
      </w:r>
      <w:r w:rsidR="002632BB">
        <w:rPr>
          <w:rFonts w:ascii="Arial" w:hAnsi="Arial"/>
          <w:sz w:val="36"/>
          <w:lang w:eastAsia="zh-CN"/>
        </w:rPr>
        <w:t>P</w:t>
      </w:r>
      <w:r w:rsidR="0075425A">
        <w:rPr>
          <w:rFonts w:ascii="Arial" w:hAnsi="Arial"/>
          <w:sz w:val="36"/>
          <w:lang w:eastAsia="zh-CN"/>
        </w:rPr>
        <w:t>C</w:t>
      </w:r>
      <w:r w:rsidR="004E0ECE">
        <w:rPr>
          <w:rFonts w:ascii="Arial" w:hAnsi="Arial"/>
          <w:sz w:val="36"/>
          <w:lang w:eastAsia="zh-CN"/>
        </w:rPr>
        <w:t>1, PC2 and PC4</w:t>
      </w:r>
    </w:p>
    <w:p w14:paraId="4194F24B" w14:textId="77777777" w:rsidR="004E0ECE" w:rsidRDefault="004E0ECE" w:rsidP="004E0ECE">
      <w:pPr>
        <w:pStyle w:val="Heading2"/>
        <w:rPr>
          <w:lang w:eastAsia="zh-CN"/>
        </w:rPr>
      </w:pPr>
      <w:r>
        <w:rPr>
          <w:lang w:eastAsia="zh-CN"/>
        </w:rPr>
        <w:t>RF Architecture</w:t>
      </w:r>
    </w:p>
    <w:p w14:paraId="03CE792E" w14:textId="494C32A7" w:rsidR="004E0ECE" w:rsidRDefault="004E0ECE" w:rsidP="005F5D3B">
      <w:pPr>
        <w:spacing w:after="120"/>
        <w:jc w:val="both"/>
      </w:pPr>
      <w:r>
        <w:t xml:space="preserve">For the derivation of UE </w:t>
      </w:r>
      <w:r w:rsidR="005F5D3B">
        <w:t>r</w:t>
      </w:r>
      <w:r w:rsidR="00F31D51" w:rsidRPr="00C04A08">
        <w:t>eference sensitivity power level</w:t>
      </w:r>
      <w:r w:rsidR="005F5D3B">
        <w:t xml:space="preserve"> (REFSENS)</w:t>
      </w:r>
      <w:r w:rsidR="00C204D3">
        <w:t>,</w:t>
      </w:r>
      <w:r w:rsidR="00F31D51" w:rsidRPr="00C04A08">
        <w:t xml:space="preserve"> </w:t>
      </w:r>
      <w:r>
        <w:t>we have used the RF architecture described in TR 38.817-01</w:t>
      </w:r>
      <w:r w:rsidR="004A7C29">
        <w:t xml:space="preserve"> </w:t>
      </w:r>
      <w:r w:rsidR="004A7C29">
        <w:fldChar w:fldCharType="begin"/>
      </w:r>
      <w:r w:rsidR="004A7C29">
        <w:instrText xml:space="preserve"> REF _Ref68092437 \r \h </w:instrText>
      </w:r>
      <w:r w:rsidR="004A7C29">
        <w:fldChar w:fldCharType="separate"/>
      </w:r>
      <w:r w:rsidR="00D7519F">
        <w:t>[4]</w:t>
      </w:r>
      <w:r w:rsidR="004A7C29">
        <w:fldChar w:fldCharType="end"/>
      </w:r>
      <w:r>
        <w:t xml:space="preserve">. </w:t>
      </w:r>
      <w:r w:rsidR="00F31D51">
        <w:t>In th</w:t>
      </w:r>
      <w:r w:rsidR="00C204D3">
        <w:t>is</w:t>
      </w:r>
      <w:r w:rsidR="00F31D51">
        <w:t xml:space="preserve"> </w:t>
      </w:r>
      <w:r w:rsidR="00AB4EF8">
        <w:t>reference</w:t>
      </w:r>
      <w:r w:rsidR="00C204D3">
        <w:t>,</w:t>
      </w:r>
      <w:r w:rsidR="00F31D51">
        <w:t xml:space="preserve"> the architecture is derived for transmitter but we reuse the same </w:t>
      </w:r>
      <w:r w:rsidR="00C204D3">
        <w:t xml:space="preserve">architecture </w:t>
      </w:r>
      <w:r w:rsidR="00F31D51">
        <w:t xml:space="preserve">for receiver (see also </w:t>
      </w:r>
      <w:r w:rsidR="00C204D3">
        <w:t xml:space="preserve">our document about EIRP derivation </w:t>
      </w:r>
      <w:r w:rsidR="00C204D3">
        <w:fldChar w:fldCharType="begin"/>
      </w:r>
      <w:r w:rsidR="00C204D3">
        <w:instrText xml:space="preserve"> REF _Ref61436654 \r \h </w:instrText>
      </w:r>
      <w:r w:rsidR="00C204D3">
        <w:fldChar w:fldCharType="separate"/>
      </w:r>
      <w:r w:rsidR="00D7519F">
        <w:t>[7]</w:t>
      </w:r>
      <w:r w:rsidR="00C204D3">
        <w:fldChar w:fldCharType="end"/>
      </w:r>
      <w:r w:rsidR="00C204D3">
        <w:t xml:space="preserve">). For power class 4, the estimation is based on 16 antenna elements where the TR </w:t>
      </w:r>
      <w:r w:rsidR="004B6593">
        <w:t xml:space="preserve">also </w:t>
      </w:r>
      <w:r w:rsidR="00C204D3">
        <w:t xml:space="preserve">describes several </w:t>
      </w:r>
      <w:r w:rsidR="004B6593">
        <w:t xml:space="preserve">other </w:t>
      </w:r>
      <w:r w:rsidR="00C204D3">
        <w:t xml:space="preserve">options. It </w:t>
      </w:r>
      <w:r w:rsidR="00C204D3" w:rsidRPr="00730030">
        <w:t>is</w:t>
      </w:r>
      <w:r w:rsidR="00C204D3">
        <w:t xml:space="preserve"> worth emphasizing that </w:t>
      </w:r>
      <w:r w:rsidR="004B6593">
        <w:t>the</w:t>
      </w:r>
      <w:r w:rsidR="00C204D3">
        <w:t xml:space="preserve"> assumption </w:t>
      </w:r>
      <w:r w:rsidR="004B6593">
        <w:t xml:space="preserve">used in the TR </w:t>
      </w:r>
      <w:r w:rsidR="004B6593">
        <w:fldChar w:fldCharType="begin"/>
      </w:r>
      <w:r w:rsidR="004B6593">
        <w:instrText xml:space="preserve"> REF _Ref68092437 \r \h </w:instrText>
      </w:r>
      <w:r w:rsidR="004B6593">
        <w:fldChar w:fldCharType="separate"/>
      </w:r>
      <w:r w:rsidR="00D7519F">
        <w:t>[4]</w:t>
      </w:r>
      <w:r w:rsidR="004B6593">
        <w:fldChar w:fldCharType="end"/>
      </w:r>
      <w:r w:rsidR="004B6593">
        <w:t xml:space="preserve"> (and </w:t>
      </w:r>
      <w:r w:rsidR="00E475FB">
        <w:t xml:space="preserve">in </w:t>
      </w:r>
      <w:r w:rsidR="004B6593">
        <w:t xml:space="preserve">this document) </w:t>
      </w:r>
      <w:r w:rsidR="00C204D3">
        <w:t xml:space="preserve">is merely for </w:t>
      </w:r>
      <w:r w:rsidR="00C204D3" w:rsidRPr="00730030">
        <w:t>al</w:t>
      </w:r>
      <w:r w:rsidR="00C204D3">
        <w:t xml:space="preserve">ignment of the input from different companies </w:t>
      </w:r>
      <w:r w:rsidR="00C204D3" w:rsidRPr="00730030">
        <w:t>an</w:t>
      </w:r>
      <w:r w:rsidR="00C204D3">
        <w:t xml:space="preserve">d does not limit the UE implementation, and the core requirement </w:t>
      </w:r>
      <w:r w:rsidR="00C204D3" w:rsidRPr="00730030">
        <w:t>sh</w:t>
      </w:r>
      <w:r w:rsidR="00C204D3">
        <w:t xml:space="preserve">ould be agnostic to different RF </w:t>
      </w:r>
      <w:r w:rsidR="00EF174C">
        <w:t>architectures</w:t>
      </w:r>
      <w:r w:rsidR="00C204D3">
        <w:t xml:space="preserve">. </w:t>
      </w:r>
    </w:p>
    <w:p w14:paraId="2CB3A3E2" w14:textId="77777777" w:rsidR="00246BF0" w:rsidRPr="005F5D3B" w:rsidRDefault="00246BF0" w:rsidP="005F5D3B">
      <w:pPr>
        <w:spacing w:after="120"/>
        <w:jc w:val="both"/>
      </w:pPr>
    </w:p>
    <w:p w14:paraId="0FDA9D97" w14:textId="5C480167" w:rsidR="004E0ECE" w:rsidRDefault="004E0ECE" w:rsidP="00444D16">
      <w:pPr>
        <w:pStyle w:val="Caption"/>
        <w:spacing w:after="120"/>
        <w:ind w:left="1418" w:hanging="1418"/>
        <w:jc w:val="both"/>
      </w:pPr>
      <w:bookmarkStart w:id="1" w:name="_Ref20385669"/>
      <w:r>
        <w:t xml:space="preserve">Proposal </w:t>
      </w:r>
      <w:r>
        <w:fldChar w:fldCharType="begin"/>
      </w:r>
      <w:r>
        <w:instrText xml:space="preserve"> SEQ Proposal \* ARABIC </w:instrText>
      </w:r>
      <w:r>
        <w:fldChar w:fldCharType="separate"/>
      </w:r>
      <w:r w:rsidR="00D7519F">
        <w:rPr>
          <w:noProof/>
        </w:rPr>
        <w:t>1</w:t>
      </w:r>
      <w:r>
        <w:fldChar w:fldCharType="end"/>
      </w:r>
      <w:r>
        <w:rPr>
          <w:b w:val="0"/>
        </w:rPr>
        <w:tab/>
      </w:r>
      <w:r>
        <w:t xml:space="preserve">Companies shall provide the reference RF architecture they assumed when deriving the </w:t>
      </w:r>
      <w:r w:rsidR="005F5D3B">
        <w:t>REFSENS</w:t>
      </w:r>
      <w:r>
        <w:t xml:space="preserve"> link budget.</w:t>
      </w:r>
      <w:bookmarkEnd w:id="1"/>
      <w:r>
        <w:t xml:space="preserve"> </w:t>
      </w:r>
    </w:p>
    <w:p w14:paraId="1C739733" w14:textId="6F83AAC0" w:rsidR="004B6593" w:rsidRDefault="004B6593" w:rsidP="004B6593">
      <w:r>
        <w:t xml:space="preserve">In this contribution we also follow the outline in the WF from RAN4 #97-e </w:t>
      </w:r>
      <w:r>
        <w:fldChar w:fldCharType="begin"/>
      </w:r>
      <w:r>
        <w:instrText xml:space="preserve"> REF _Ref54094321 \r \h </w:instrText>
      </w:r>
      <w:r>
        <w:fldChar w:fldCharType="separate"/>
      </w:r>
      <w:r w:rsidR="00D7519F">
        <w:t>[6]</w:t>
      </w:r>
      <w:r>
        <w:fldChar w:fldCharType="end"/>
      </w:r>
      <w:r>
        <w:t xml:space="preserve"> as far as possible, even though, some changes are made to make it </w:t>
      </w:r>
      <w:proofErr w:type="gramStart"/>
      <w:r>
        <w:t>more clear</w:t>
      </w:r>
      <w:proofErr w:type="gramEnd"/>
      <w:r>
        <w:t>.</w:t>
      </w:r>
    </w:p>
    <w:p w14:paraId="7F16D938" w14:textId="77777777" w:rsidR="00246BF0" w:rsidRPr="004B6593" w:rsidRDefault="00246BF0" w:rsidP="004B6593"/>
    <w:p w14:paraId="50DC75C2" w14:textId="2E76C686" w:rsidR="004E0ECE" w:rsidRDefault="005F5D3B" w:rsidP="004E0ECE">
      <w:pPr>
        <w:pStyle w:val="Heading2"/>
        <w:rPr>
          <w:lang w:eastAsia="zh-CN"/>
        </w:rPr>
      </w:pPr>
      <w:r>
        <w:rPr>
          <w:lang w:eastAsia="zh-CN"/>
        </w:rPr>
        <w:t>Reference sensitivity</w:t>
      </w:r>
      <w:r w:rsidR="004E0ECE">
        <w:rPr>
          <w:lang w:eastAsia="zh-CN"/>
        </w:rPr>
        <w:t xml:space="preserve"> </w:t>
      </w:r>
      <w:r>
        <w:rPr>
          <w:lang w:eastAsia="zh-CN"/>
        </w:rPr>
        <w:t xml:space="preserve">power level </w:t>
      </w:r>
      <w:r w:rsidR="004E0ECE">
        <w:rPr>
          <w:lang w:eastAsia="zh-CN"/>
        </w:rPr>
        <w:t>PC</w:t>
      </w:r>
      <w:r w:rsidR="00BA7F99">
        <w:rPr>
          <w:lang w:eastAsia="zh-CN"/>
        </w:rPr>
        <w:t>1, PC2 and PC</w:t>
      </w:r>
      <w:r w:rsidR="00947B77">
        <w:rPr>
          <w:lang w:eastAsia="zh-CN"/>
        </w:rPr>
        <w:t>4</w:t>
      </w:r>
    </w:p>
    <w:p w14:paraId="3B6553D2" w14:textId="43A422CD" w:rsidR="00FC2C71" w:rsidRDefault="00FC2C71" w:rsidP="00FC2C71">
      <w:pPr>
        <w:pStyle w:val="BodyText"/>
      </w:pPr>
      <w:r>
        <w:t xml:space="preserve">The reference sensitivity can be described as below </w:t>
      </w:r>
      <w:r>
        <w:fldChar w:fldCharType="begin"/>
      </w:r>
      <w:r>
        <w:instrText xml:space="preserve"> REF _Ref20139024 \r \h </w:instrText>
      </w:r>
      <w:r>
        <w:fldChar w:fldCharType="separate"/>
      </w:r>
      <w:r w:rsidR="00D7519F">
        <w:t>[8]</w:t>
      </w:r>
      <w:r>
        <w:fldChar w:fldCharType="end"/>
      </w:r>
      <w:r>
        <w:t>:</w:t>
      </w:r>
    </w:p>
    <w:p w14:paraId="1DAAC571" w14:textId="7959F538" w:rsidR="00FC2C71" w:rsidRPr="00FC2C71" w:rsidRDefault="00FC2C71" w:rsidP="00FC2C71">
      <w:pPr>
        <w:pStyle w:val="BodyText"/>
      </w:pPr>
      <m:oMathPara>
        <m:oMath>
          <m:r>
            <w:rPr>
              <w:rFonts w:ascii="Cambria Math" w:hAnsi="Cambria Math"/>
            </w:rPr>
            <m:t>Sensitivity= -174dBm/Hz+10*</m:t>
          </m:r>
          <m:func>
            <m:funcPr>
              <m:ctrlPr>
                <w:rPr>
                  <w:rFonts w:ascii="Cambria Math" w:hAnsi="Cambria Math"/>
                </w:rPr>
              </m:ctrlPr>
            </m:funcPr>
            <m:fName>
              <m:r>
                <m:rPr>
                  <m:sty m:val="p"/>
                </m:rPr>
                <w:rPr>
                  <w:rFonts w:ascii="Cambria Math" w:hAnsi="Cambria Math"/>
                </w:rPr>
                <m:t>log</m:t>
              </m:r>
              <m:ctrlPr>
                <w:rPr>
                  <w:rFonts w:ascii="Cambria Math" w:hAnsi="Cambria Math"/>
                  <w:i/>
                </w:rPr>
              </m:ctrlPr>
            </m:fName>
            <m:e>
              <m:d>
                <m:dPr>
                  <m:ctrlPr>
                    <w:rPr>
                      <w:rFonts w:ascii="Cambria Math" w:hAnsi="Cambria Math"/>
                      <w:i/>
                    </w:rPr>
                  </m:ctrlPr>
                </m:dPr>
                <m:e>
                  <m:r>
                    <w:rPr>
                      <w:rFonts w:ascii="Cambria Math" w:hAnsi="Cambria Math"/>
                    </w:rPr>
                    <m:t>BW</m:t>
                  </m:r>
                </m:e>
              </m:d>
            </m:e>
          </m:func>
          <m:r>
            <w:rPr>
              <w:rFonts w:ascii="Cambria Math" w:hAnsi="Cambria Math"/>
            </w:rPr>
            <m:t>+NF-Array gain-diversity gain+SNR+IM</m:t>
          </m:r>
        </m:oMath>
      </m:oMathPara>
    </w:p>
    <w:p w14:paraId="349E6D64" w14:textId="6E9C7CE4" w:rsidR="004E0ECE" w:rsidRDefault="00EF174C" w:rsidP="008A21EF">
      <w:pPr>
        <w:pStyle w:val="BodyText"/>
        <w:rPr>
          <w:lang w:eastAsia="zh-CN"/>
        </w:rPr>
      </w:pPr>
      <w:r>
        <w:rPr>
          <w:lang w:eastAsia="zh-CN"/>
        </w:rPr>
        <w:t xml:space="preserve">Array gain in the formula in this reference </w:t>
      </w:r>
      <w:r>
        <w:rPr>
          <w:lang w:eastAsia="zh-CN"/>
        </w:rPr>
        <w:fldChar w:fldCharType="begin"/>
      </w:r>
      <w:r>
        <w:rPr>
          <w:lang w:eastAsia="zh-CN"/>
        </w:rPr>
        <w:instrText xml:space="preserve"> REF _Ref20139024 \r \h </w:instrText>
      </w:r>
      <w:r>
        <w:rPr>
          <w:lang w:eastAsia="zh-CN"/>
        </w:rPr>
      </w:r>
      <w:r>
        <w:rPr>
          <w:lang w:eastAsia="zh-CN"/>
        </w:rPr>
        <w:fldChar w:fldCharType="separate"/>
      </w:r>
      <w:r w:rsidR="00D7519F">
        <w:rPr>
          <w:lang w:eastAsia="zh-CN"/>
        </w:rPr>
        <w:t>[8]</w:t>
      </w:r>
      <w:r>
        <w:rPr>
          <w:lang w:eastAsia="zh-CN"/>
        </w:rPr>
        <w:fldChar w:fldCharType="end"/>
      </w:r>
      <w:r>
        <w:rPr>
          <w:lang w:eastAsia="zh-CN"/>
        </w:rPr>
        <w:t xml:space="preserve"> should be interpreted as realized array gain, a combination of array gain, element gain, antenna gain roll-off and beam forming losses. Losses due to HW (mismatch and phase shifter HW losses</w:t>
      </w:r>
      <w:r w:rsidR="00F21EC4">
        <w:rPr>
          <w:lang w:eastAsia="zh-CN"/>
        </w:rPr>
        <w:t>) are bundled in the noise figure (NF). However, for clarity</w:t>
      </w:r>
      <w:r w:rsidR="00566B94">
        <w:rPr>
          <w:lang w:eastAsia="zh-CN"/>
        </w:rPr>
        <w:t>,</w:t>
      </w:r>
      <w:r w:rsidR="00F21EC4">
        <w:rPr>
          <w:lang w:eastAsia="zh-CN"/>
        </w:rPr>
        <w:t xml:space="preserve"> the losses are shown separately and not lumped together in NF in </w:t>
      </w:r>
      <w:r w:rsidR="00F21EC4">
        <w:rPr>
          <w:lang w:eastAsia="zh-CN"/>
        </w:rPr>
        <w:fldChar w:fldCharType="begin"/>
      </w:r>
      <w:r w:rsidR="00F21EC4">
        <w:rPr>
          <w:lang w:eastAsia="zh-CN"/>
        </w:rPr>
        <w:instrText xml:space="preserve"> REF _Ref54022418 \h </w:instrText>
      </w:r>
      <w:r w:rsidR="00F21EC4">
        <w:rPr>
          <w:lang w:eastAsia="zh-CN"/>
        </w:rPr>
      </w:r>
      <w:r w:rsidR="00F21EC4">
        <w:rPr>
          <w:lang w:eastAsia="zh-CN"/>
        </w:rPr>
        <w:fldChar w:fldCharType="separate"/>
      </w:r>
      <w:r w:rsidR="00D7519F">
        <w:t xml:space="preserve">Table </w:t>
      </w:r>
      <w:r w:rsidR="00D7519F">
        <w:rPr>
          <w:noProof/>
        </w:rPr>
        <w:t>1</w:t>
      </w:r>
      <w:r w:rsidR="00F21EC4">
        <w:rPr>
          <w:lang w:eastAsia="zh-CN"/>
        </w:rPr>
        <w:fldChar w:fldCharType="end"/>
      </w:r>
      <w:r w:rsidR="00566B94">
        <w:rPr>
          <w:lang w:eastAsia="zh-CN"/>
        </w:rPr>
        <w:t>,</w:t>
      </w:r>
      <w:r w:rsidR="00F21EC4">
        <w:rPr>
          <w:lang w:eastAsia="zh-CN"/>
        </w:rPr>
        <w:t xml:space="preserve"> where c</w:t>
      </w:r>
      <w:r w:rsidR="004E0ECE">
        <w:rPr>
          <w:lang w:eastAsia="zh-CN"/>
        </w:rPr>
        <w:t xml:space="preserve">alculation of </w:t>
      </w:r>
      <w:r w:rsidR="005F5D3B">
        <w:rPr>
          <w:lang w:eastAsia="zh-CN"/>
        </w:rPr>
        <w:t xml:space="preserve">REFSENS </w:t>
      </w:r>
      <w:r w:rsidR="004E0ECE">
        <w:rPr>
          <w:lang w:eastAsia="zh-CN"/>
        </w:rPr>
        <w:t xml:space="preserve">for band n262 </w:t>
      </w:r>
      <w:r w:rsidR="003636B0">
        <w:rPr>
          <w:lang w:eastAsia="zh-CN"/>
        </w:rPr>
        <w:t xml:space="preserve">PC1, PC2 and PC4 </w:t>
      </w:r>
      <w:r w:rsidR="004E0ECE">
        <w:rPr>
          <w:lang w:eastAsia="zh-CN"/>
        </w:rPr>
        <w:t>is shown</w:t>
      </w:r>
      <w:r w:rsidR="003636B0">
        <w:rPr>
          <w:lang w:eastAsia="zh-CN"/>
        </w:rPr>
        <w:t xml:space="preserve">. PC3 is </w:t>
      </w:r>
      <w:r w:rsidR="00F21EC4">
        <w:rPr>
          <w:lang w:eastAsia="zh-CN"/>
        </w:rPr>
        <w:t xml:space="preserve">also </w:t>
      </w:r>
      <w:r w:rsidR="003636B0">
        <w:rPr>
          <w:lang w:eastAsia="zh-CN"/>
        </w:rPr>
        <w:t xml:space="preserve">included for reference </w:t>
      </w:r>
      <w:r w:rsidR="00F21EC4">
        <w:rPr>
          <w:lang w:eastAsia="zh-CN"/>
        </w:rPr>
        <w:t>where t</w:t>
      </w:r>
      <w:r w:rsidR="003636B0">
        <w:rPr>
          <w:lang w:eastAsia="zh-CN"/>
        </w:rPr>
        <w:t xml:space="preserve">he values for PC3 </w:t>
      </w:r>
      <w:r w:rsidR="00FC2C71">
        <w:rPr>
          <w:lang w:eastAsia="zh-CN"/>
        </w:rPr>
        <w:t xml:space="preserve">in </w:t>
      </w:r>
      <w:r w:rsidR="00F21EC4">
        <w:rPr>
          <w:lang w:eastAsia="zh-CN"/>
        </w:rPr>
        <w:fldChar w:fldCharType="begin"/>
      </w:r>
      <w:r w:rsidR="00F21EC4">
        <w:rPr>
          <w:lang w:eastAsia="zh-CN"/>
        </w:rPr>
        <w:instrText xml:space="preserve"> REF _Ref54022418 \h </w:instrText>
      </w:r>
      <w:r w:rsidR="00F21EC4">
        <w:rPr>
          <w:lang w:eastAsia="zh-CN"/>
        </w:rPr>
      </w:r>
      <w:r w:rsidR="00F21EC4">
        <w:rPr>
          <w:lang w:eastAsia="zh-CN"/>
        </w:rPr>
        <w:fldChar w:fldCharType="separate"/>
      </w:r>
      <w:r w:rsidR="00D7519F">
        <w:t xml:space="preserve">Table </w:t>
      </w:r>
      <w:r w:rsidR="00D7519F">
        <w:rPr>
          <w:noProof/>
        </w:rPr>
        <w:t>1</w:t>
      </w:r>
      <w:r w:rsidR="00F21EC4">
        <w:rPr>
          <w:lang w:eastAsia="zh-CN"/>
        </w:rPr>
        <w:fldChar w:fldCharType="end"/>
      </w:r>
      <w:r w:rsidR="003636B0">
        <w:rPr>
          <w:lang w:eastAsia="zh-CN"/>
        </w:rPr>
        <w:t xml:space="preserve">are adjusted to match actual agreement </w:t>
      </w:r>
      <w:r w:rsidR="003636B0">
        <w:rPr>
          <w:lang w:eastAsia="zh-CN"/>
        </w:rPr>
        <w:fldChar w:fldCharType="begin"/>
      </w:r>
      <w:r w:rsidR="003636B0">
        <w:rPr>
          <w:lang w:eastAsia="zh-CN"/>
        </w:rPr>
        <w:instrText xml:space="preserve"> REF _Ref68018987 \r \h </w:instrText>
      </w:r>
      <w:r w:rsidR="003636B0">
        <w:rPr>
          <w:lang w:eastAsia="zh-CN"/>
        </w:rPr>
      </w:r>
      <w:r w:rsidR="003636B0">
        <w:rPr>
          <w:lang w:eastAsia="zh-CN"/>
        </w:rPr>
        <w:fldChar w:fldCharType="separate"/>
      </w:r>
      <w:r w:rsidR="00D7519F">
        <w:rPr>
          <w:lang w:eastAsia="zh-CN"/>
        </w:rPr>
        <w:t>[2]</w:t>
      </w:r>
      <w:r w:rsidR="003636B0">
        <w:rPr>
          <w:lang w:eastAsia="zh-CN"/>
        </w:rPr>
        <w:fldChar w:fldCharType="end"/>
      </w:r>
      <w:r w:rsidR="003636B0">
        <w:rPr>
          <w:lang w:eastAsia="zh-CN"/>
        </w:rPr>
        <w:t>, which was: n262, PC3,</w:t>
      </w:r>
      <w:r w:rsidR="003636B0" w:rsidRPr="003636B0">
        <w:rPr>
          <w:lang w:eastAsia="zh-CN"/>
        </w:rPr>
        <w:t xml:space="preserve"> </w:t>
      </w:r>
      <w:r w:rsidR="004B6593">
        <w:rPr>
          <w:lang w:eastAsia="zh-CN"/>
        </w:rPr>
        <w:t>100MHz REFSENS</w:t>
      </w:r>
      <w:r w:rsidR="003636B0">
        <w:rPr>
          <w:lang w:eastAsia="zh-CN"/>
        </w:rPr>
        <w:t xml:space="preserve"> </w:t>
      </w:r>
      <w:r w:rsidR="004B6593">
        <w:rPr>
          <w:lang w:eastAsia="zh-CN"/>
        </w:rPr>
        <w:t>-79.8</w:t>
      </w:r>
      <w:r w:rsidR="003636B0">
        <w:rPr>
          <w:lang w:eastAsia="zh-CN"/>
        </w:rPr>
        <w:t>dBm.</w:t>
      </w:r>
    </w:p>
    <w:p w14:paraId="6E1881EF" w14:textId="77777777" w:rsidR="00246BF0" w:rsidRPr="00895CA8" w:rsidRDefault="00246BF0" w:rsidP="008A21EF">
      <w:pPr>
        <w:pStyle w:val="BodyText"/>
        <w:rPr>
          <w:lang w:eastAsia="zh-CN"/>
        </w:rPr>
      </w:pPr>
    </w:p>
    <w:tbl>
      <w:tblPr>
        <w:tblStyle w:val="TableGrid"/>
        <w:tblW w:w="0" w:type="auto"/>
        <w:tblLook w:val="04A0" w:firstRow="1" w:lastRow="0" w:firstColumn="1" w:lastColumn="0" w:noHBand="0" w:noVBand="1"/>
      </w:tblPr>
      <w:tblGrid>
        <w:gridCol w:w="3039"/>
        <w:gridCol w:w="1103"/>
        <w:gridCol w:w="1395"/>
        <w:gridCol w:w="1395"/>
        <w:gridCol w:w="1395"/>
        <w:gridCol w:w="1395"/>
      </w:tblGrid>
      <w:tr w:rsidR="008A21EF" w:rsidRPr="008A21EF" w14:paraId="3C64CB2F" w14:textId="77777777" w:rsidTr="008A21EF">
        <w:trPr>
          <w:trHeight w:val="315"/>
        </w:trPr>
        <w:tc>
          <w:tcPr>
            <w:tcW w:w="3800" w:type="dxa"/>
            <w:tcBorders>
              <w:top w:val="single" w:sz="12" w:space="0" w:color="auto"/>
              <w:left w:val="single" w:sz="12" w:space="0" w:color="auto"/>
            </w:tcBorders>
            <w:hideMark/>
          </w:tcPr>
          <w:p w14:paraId="6C6B0AB3" w14:textId="77777777" w:rsidR="008A21EF" w:rsidRPr="008A21EF" w:rsidRDefault="008A21EF" w:rsidP="008A21EF">
            <w:pPr>
              <w:jc w:val="both"/>
              <w:rPr>
                <w:rFonts w:asciiTheme="minorHAnsi" w:hAnsiTheme="minorHAnsi"/>
                <w:b/>
                <w:bCs/>
              </w:rPr>
            </w:pPr>
            <w:r w:rsidRPr="008A21EF">
              <w:rPr>
                <w:rFonts w:asciiTheme="minorHAnsi" w:hAnsiTheme="minorHAnsi"/>
                <w:b/>
                <w:bCs/>
              </w:rPr>
              <w:t>Parameter</w:t>
            </w:r>
          </w:p>
        </w:tc>
        <w:tc>
          <w:tcPr>
            <w:tcW w:w="1240" w:type="dxa"/>
            <w:tcBorders>
              <w:top w:val="single" w:sz="12" w:space="0" w:color="auto"/>
              <w:right w:val="single" w:sz="12" w:space="0" w:color="auto"/>
            </w:tcBorders>
            <w:hideMark/>
          </w:tcPr>
          <w:p w14:paraId="61865F93" w14:textId="77777777" w:rsidR="008A21EF" w:rsidRPr="008A21EF" w:rsidRDefault="008A21EF" w:rsidP="008A21EF">
            <w:pPr>
              <w:jc w:val="center"/>
              <w:rPr>
                <w:rFonts w:asciiTheme="minorHAnsi" w:hAnsiTheme="minorHAnsi"/>
                <w:b/>
                <w:bCs/>
              </w:rPr>
            </w:pPr>
            <w:r w:rsidRPr="008A21EF">
              <w:rPr>
                <w:rFonts w:asciiTheme="minorHAnsi" w:hAnsiTheme="minorHAnsi"/>
                <w:b/>
                <w:bCs/>
              </w:rPr>
              <w:t>Unit</w:t>
            </w:r>
          </w:p>
        </w:tc>
        <w:tc>
          <w:tcPr>
            <w:tcW w:w="1720" w:type="dxa"/>
            <w:tcBorders>
              <w:top w:val="single" w:sz="12" w:space="0" w:color="auto"/>
              <w:left w:val="single" w:sz="12" w:space="0" w:color="auto"/>
              <w:right w:val="single" w:sz="12" w:space="0" w:color="auto"/>
            </w:tcBorders>
            <w:hideMark/>
          </w:tcPr>
          <w:p w14:paraId="7B0D6FA1" w14:textId="77777777" w:rsidR="008A21EF" w:rsidRPr="008A21EF" w:rsidRDefault="008A21EF" w:rsidP="008A21EF">
            <w:pPr>
              <w:jc w:val="center"/>
              <w:rPr>
                <w:rFonts w:asciiTheme="minorHAnsi" w:hAnsiTheme="minorHAnsi"/>
                <w:b/>
                <w:bCs/>
              </w:rPr>
            </w:pPr>
            <w:r w:rsidRPr="008A21EF">
              <w:rPr>
                <w:rFonts w:asciiTheme="minorHAnsi" w:hAnsiTheme="minorHAnsi"/>
                <w:b/>
                <w:bCs/>
              </w:rPr>
              <w:t>Value</w:t>
            </w:r>
          </w:p>
        </w:tc>
        <w:tc>
          <w:tcPr>
            <w:tcW w:w="1720" w:type="dxa"/>
            <w:tcBorders>
              <w:top w:val="single" w:sz="12" w:space="0" w:color="auto"/>
              <w:left w:val="single" w:sz="12" w:space="0" w:color="auto"/>
              <w:right w:val="single" w:sz="12" w:space="0" w:color="auto"/>
            </w:tcBorders>
            <w:hideMark/>
          </w:tcPr>
          <w:p w14:paraId="4D805C8A" w14:textId="77777777" w:rsidR="008A21EF" w:rsidRPr="008A21EF" w:rsidRDefault="008A21EF" w:rsidP="008A21EF">
            <w:pPr>
              <w:jc w:val="center"/>
              <w:rPr>
                <w:rFonts w:asciiTheme="minorHAnsi" w:hAnsiTheme="minorHAnsi"/>
                <w:b/>
                <w:bCs/>
              </w:rPr>
            </w:pPr>
            <w:r w:rsidRPr="008A21EF">
              <w:rPr>
                <w:rFonts w:asciiTheme="minorHAnsi" w:hAnsiTheme="minorHAnsi"/>
                <w:b/>
                <w:bCs/>
              </w:rPr>
              <w:t>Value</w:t>
            </w:r>
          </w:p>
        </w:tc>
        <w:tc>
          <w:tcPr>
            <w:tcW w:w="1720" w:type="dxa"/>
            <w:tcBorders>
              <w:top w:val="single" w:sz="12" w:space="0" w:color="auto"/>
              <w:left w:val="single" w:sz="12" w:space="0" w:color="auto"/>
              <w:right w:val="single" w:sz="12" w:space="0" w:color="auto"/>
            </w:tcBorders>
            <w:hideMark/>
          </w:tcPr>
          <w:p w14:paraId="506AE715" w14:textId="77777777" w:rsidR="008A21EF" w:rsidRPr="008A21EF" w:rsidRDefault="008A21EF" w:rsidP="008A21EF">
            <w:pPr>
              <w:jc w:val="center"/>
              <w:rPr>
                <w:rFonts w:asciiTheme="minorHAnsi" w:hAnsiTheme="minorHAnsi"/>
                <w:b/>
                <w:bCs/>
              </w:rPr>
            </w:pPr>
            <w:r w:rsidRPr="008A21EF">
              <w:rPr>
                <w:rFonts w:asciiTheme="minorHAnsi" w:hAnsiTheme="minorHAnsi"/>
                <w:b/>
                <w:bCs/>
              </w:rPr>
              <w:t>Value</w:t>
            </w:r>
          </w:p>
        </w:tc>
        <w:tc>
          <w:tcPr>
            <w:tcW w:w="1720" w:type="dxa"/>
            <w:tcBorders>
              <w:top w:val="single" w:sz="12" w:space="0" w:color="auto"/>
              <w:left w:val="single" w:sz="12" w:space="0" w:color="auto"/>
              <w:right w:val="single" w:sz="12" w:space="0" w:color="auto"/>
            </w:tcBorders>
            <w:hideMark/>
          </w:tcPr>
          <w:p w14:paraId="302FFF60" w14:textId="77777777" w:rsidR="008A21EF" w:rsidRPr="008A21EF" w:rsidRDefault="008A21EF" w:rsidP="008A21EF">
            <w:pPr>
              <w:jc w:val="center"/>
              <w:rPr>
                <w:rFonts w:asciiTheme="minorHAnsi" w:hAnsiTheme="minorHAnsi"/>
                <w:b/>
                <w:bCs/>
              </w:rPr>
            </w:pPr>
            <w:r w:rsidRPr="008A21EF">
              <w:rPr>
                <w:rFonts w:asciiTheme="minorHAnsi" w:hAnsiTheme="minorHAnsi"/>
                <w:b/>
                <w:bCs/>
              </w:rPr>
              <w:t>Value</w:t>
            </w:r>
          </w:p>
        </w:tc>
      </w:tr>
      <w:tr w:rsidR="008A21EF" w:rsidRPr="008A21EF" w14:paraId="377D19BD" w14:textId="77777777" w:rsidTr="00FC2C71">
        <w:trPr>
          <w:trHeight w:val="315"/>
        </w:trPr>
        <w:tc>
          <w:tcPr>
            <w:tcW w:w="3800" w:type="dxa"/>
            <w:tcBorders>
              <w:left w:val="single" w:sz="12" w:space="0" w:color="auto"/>
            </w:tcBorders>
            <w:vAlign w:val="center"/>
            <w:hideMark/>
          </w:tcPr>
          <w:p w14:paraId="01D3A497" w14:textId="77777777" w:rsidR="008A21EF" w:rsidRPr="008A21EF" w:rsidRDefault="008A21EF" w:rsidP="008A21EF">
            <w:pPr>
              <w:jc w:val="both"/>
              <w:rPr>
                <w:rFonts w:asciiTheme="minorHAnsi" w:hAnsiTheme="minorHAnsi"/>
                <w:b/>
                <w:bCs/>
                <w:sz w:val="18"/>
                <w:szCs w:val="18"/>
              </w:rPr>
            </w:pPr>
            <w:r w:rsidRPr="008A21EF">
              <w:rPr>
                <w:rFonts w:asciiTheme="minorHAnsi" w:hAnsiTheme="minorHAnsi"/>
                <w:b/>
                <w:bCs/>
                <w:sz w:val="18"/>
                <w:szCs w:val="18"/>
              </w:rPr>
              <w:t> </w:t>
            </w:r>
          </w:p>
        </w:tc>
        <w:tc>
          <w:tcPr>
            <w:tcW w:w="1240" w:type="dxa"/>
            <w:tcBorders>
              <w:right w:val="single" w:sz="12" w:space="0" w:color="auto"/>
            </w:tcBorders>
            <w:vAlign w:val="center"/>
            <w:hideMark/>
          </w:tcPr>
          <w:p w14:paraId="2F5DF884" w14:textId="5A1EC540" w:rsidR="008A21EF" w:rsidRPr="008A21EF" w:rsidRDefault="008A21EF" w:rsidP="008A21EF">
            <w:pPr>
              <w:jc w:val="center"/>
              <w:rPr>
                <w:rFonts w:asciiTheme="minorHAnsi" w:hAnsiTheme="minorHAnsi"/>
                <w:b/>
                <w:bCs/>
                <w:sz w:val="18"/>
                <w:szCs w:val="18"/>
              </w:rPr>
            </w:pPr>
          </w:p>
        </w:tc>
        <w:tc>
          <w:tcPr>
            <w:tcW w:w="1720" w:type="dxa"/>
            <w:tcBorders>
              <w:left w:val="single" w:sz="12" w:space="0" w:color="auto"/>
              <w:right w:val="single" w:sz="12" w:space="0" w:color="auto"/>
            </w:tcBorders>
            <w:vAlign w:val="center"/>
            <w:hideMark/>
          </w:tcPr>
          <w:p w14:paraId="4313BA9E" w14:textId="77777777" w:rsidR="008A21EF" w:rsidRPr="008A21EF" w:rsidRDefault="008A21EF" w:rsidP="008A21EF">
            <w:pPr>
              <w:jc w:val="center"/>
              <w:rPr>
                <w:rFonts w:asciiTheme="minorHAnsi" w:hAnsiTheme="minorHAnsi"/>
                <w:b/>
                <w:bCs/>
                <w:sz w:val="18"/>
                <w:szCs w:val="18"/>
              </w:rPr>
            </w:pPr>
            <w:r w:rsidRPr="008A21EF">
              <w:rPr>
                <w:rFonts w:asciiTheme="minorHAnsi" w:hAnsiTheme="minorHAnsi"/>
                <w:b/>
                <w:bCs/>
                <w:sz w:val="18"/>
                <w:szCs w:val="18"/>
              </w:rPr>
              <w:t>PC1</w:t>
            </w:r>
          </w:p>
        </w:tc>
        <w:tc>
          <w:tcPr>
            <w:tcW w:w="1720" w:type="dxa"/>
            <w:tcBorders>
              <w:left w:val="single" w:sz="12" w:space="0" w:color="auto"/>
              <w:right w:val="single" w:sz="12" w:space="0" w:color="auto"/>
            </w:tcBorders>
            <w:vAlign w:val="center"/>
            <w:hideMark/>
          </w:tcPr>
          <w:p w14:paraId="66EB27FF" w14:textId="77777777" w:rsidR="008A21EF" w:rsidRPr="008A21EF" w:rsidRDefault="008A21EF" w:rsidP="008A21EF">
            <w:pPr>
              <w:jc w:val="center"/>
              <w:rPr>
                <w:rFonts w:asciiTheme="minorHAnsi" w:hAnsiTheme="minorHAnsi"/>
                <w:b/>
                <w:bCs/>
                <w:sz w:val="18"/>
                <w:szCs w:val="18"/>
              </w:rPr>
            </w:pPr>
            <w:r w:rsidRPr="008A21EF">
              <w:rPr>
                <w:rFonts w:asciiTheme="minorHAnsi" w:hAnsiTheme="minorHAnsi"/>
                <w:b/>
                <w:bCs/>
                <w:sz w:val="18"/>
                <w:szCs w:val="18"/>
              </w:rPr>
              <w:t>PC2</w:t>
            </w:r>
          </w:p>
        </w:tc>
        <w:tc>
          <w:tcPr>
            <w:tcW w:w="1720" w:type="dxa"/>
            <w:tcBorders>
              <w:left w:val="single" w:sz="12" w:space="0" w:color="auto"/>
              <w:right w:val="single" w:sz="12" w:space="0" w:color="auto"/>
            </w:tcBorders>
            <w:vAlign w:val="center"/>
            <w:hideMark/>
          </w:tcPr>
          <w:p w14:paraId="666A515A" w14:textId="77777777" w:rsidR="008A21EF" w:rsidRPr="008A21EF" w:rsidRDefault="008A21EF" w:rsidP="008A21EF">
            <w:pPr>
              <w:jc w:val="center"/>
              <w:rPr>
                <w:rFonts w:asciiTheme="minorHAnsi" w:hAnsiTheme="minorHAnsi"/>
                <w:b/>
                <w:bCs/>
                <w:sz w:val="18"/>
                <w:szCs w:val="18"/>
              </w:rPr>
            </w:pPr>
            <w:r w:rsidRPr="008A21EF">
              <w:rPr>
                <w:rFonts w:asciiTheme="minorHAnsi" w:hAnsiTheme="minorHAnsi"/>
                <w:b/>
                <w:bCs/>
                <w:sz w:val="18"/>
                <w:szCs w:val="18"/>
              </w:rPr>
              <w:t>PC3</w:t>
            </w:r>
          </w:p>
        </w:tc>
        <w:tc>
          <w:tcPr>
            <w:tcW w:w="1720" w:type="dxa"/>
            <w:tcBorders>
              <w:left w:val="single" w:sz="12" w:space="0" w:color="auto"/>
              <w:right w:val="single" w:sz="12" w:space="0" w:color="auto"/>
            </w:tcBorders>
            <w:vAlign w:val="center"/>
            <w:hideMark/>
          </w:tcPr>
          <w:p w14:paraId="17BFE33B" w14:textId="77777777" w:rsidR="008A21EF" w:rsidRPr="008A21EF" w:rsidRDefault="008A21EF" w:rsidP="008A21EF">
            <w:pPr>
              <w:jc w:val="center"/>
              <w:rPr>
                <w:rFonts w:asciiTheme="minorHAnsi" w:hAnsiTheme="minorHAnsi"/>
                <w:b/>
                <w:bCs/>
                <w:sz w:val="18"/>
                <w:szCs w:val="18"/>
              </w:rPr>
            </w:pPr>
            <w:r w:rsidRPr="008A21EF">
              <w:rPr>
                <w:rFonts w:asciiTheme="minorHAnsi" w:hAnsiTheme="minorHAnsi"/>
                <w:b/>
                <w:bCs/>
                <w:sz w:val="18"/>
                <w:szCs w:val="18"/>
              </w:rPr>
              <w:t>PC4</w:t>
            </w:r>
          </w:p>
        </w:tc>
      </w:tr>
      <w:tr w:rsidR="008A21EF" w:rsidRPr="008A21EF" w14:paraId="7DC10A23" w14:textId="77777777" w:rsidTr="00FC2C71">
        <w:trPr>
          <w:trHeight w:val="315"/>
        </w:trPr>
        <w:tc>
          <w:tcPr>
            <w:tcW w:w="3800" w:type="dxa"/>
            <w:tcBorders>
              <w:left w:val="single" w:sz="12" w:space="0" w:color="auto"/>
            </w:tcBorders>
            <w:vAlign w:val="center"/>
            <w:hideMark/>
          </w:tcPr>
          <w:p w14:paraId="55513031" w14:textId="77777777" w:rsidR="008A21EF" w:rsidRPr="008A21EF" w:rsidRDefault="008A21EF" w:rsidP="008A21EF">
            <w:pPr>
              <w:jc w:val="both"/>
              <w:rPr>
                <w:rFonts w:asciiTheme="minorHAnsi" w:hAnsiTheme="minorHAnsi"/>
                <w:sz w:val="18"/>
                <w:szCs w:val="18"/>
              </w:rPr>
            </w:pPr>
            <w:r w:rsidRPr="008A21EF">
              <w:rPr>
                <w:rFonts w:asciiTheme="minorHAnsi" w:hAnsiTheme="minorHAnsi"/>
                <w:sz w:val="18"/>
                <w:szCs w:val="18"/>
              </w:rPr>
              <w:t>Band number</w:t>
            </w:r>
          </w:p>
        </w:tc>
        <w:tc>
          <w:tcPr>
            <w:tcW w:w="1240" w:type="dxa"/>
            <w:tcBorders>
              <w:right w:val="single" w:sz="12" w:space="0" w:color="auto"/>
            </w:tcBorders>
            <w:vAlign w:val="center"/>
            <w:hideMark/>
          </w:tcPr>
          <w:p w14:paraId="26B29B0C" w14:textId="6981FB91" w:rsidR="008A21EF" w:rsidRPr="008A21EF" w:rsidRDefault="008A21EF" w:rsidP="008A21EF">
            <w:pPr>
              <w:jc w:val="center"/>
              <w:rPr>
                <w:rFonts w:asciiTheme="minorHAnsi" w:hAnsiTheme="minorHAnsi"/>
                <w:sz w:val="18"/>
                <w:szCs w:val="18"/>
              </w:rPr>
            </w:pPr>
          </w:p>
        </w:tc>
        <w:tc>
          <w:tcPr>
            <w:tcW w:w="1720" w:type="dxa"/>
            <w:tcBorders>
              <w:left w:val="single" w:sz="12" w:space="0" w:color="auto"/>
              <w:right w:val="single" w:sz="12" w:space="0" w:color="auto"/>
            </w:tcBorders>
            <w:vAlign w:val="center"/>
            <w:hideMark/>
          </w:tcPr>
          <w:p w14:paraId="2CF2EDA2"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n262</w:t>
            </w:r>
          </w:p>
        </w:tc>
        <w:tc>
          <w:tcPr>
            <w:tcW w:w="1720" w:type="dxa"/>
            <w:tcBorders>
              <w:left w:val="single" w:sz="12" w:space="0" w:color="auto"/>
              <w:right w:val="single" w:sz="12" w:space="0" w:color="auto"/>
            </w:tcBorders>
            <w:vAlign w:val="center"/>
            <w:hideMark/>
          </w:tcPr>
          <w:p w14:paraId="7E932442"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n262</w:t>
            </w:r>
          </w:p>
        </w:tc>
        <w:tc>
          <w:tcPr>
            <w:tcW w:w="1720" w:type="dxa"/>
            <w:tcBorders>
              <w:left w:val="single" w:sz="12" w:space="0" w:color="auto"/>
              <w:right w:val="single" w:sz="12" w:space="0" w:color="auto"/>
            </w:tcBorders>
            <w:vAlign w:val="center"/>
            <w:hideMark/>
          </w:tcPr>
          <w:p w14:paraId="6DE2F1F5"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n262</w:t>
            </w:r>
          </w:p>
        </w:tc>
        <w:tc>
          <w:tcPr>
            <w:tcW w:w="1720" w:type="dxa"/>
            <w:tcBorders>
              <w:left w:val="single" w:sz="12" w:space="0" w:color="auto"/>
              <w:right w:val="single" w:sz="12" w:space="0" w:color="auto"/>
            </w:tcBorders>
            <w:vAlign w:val="center"/>
            <w:hideMark/>
          </w:tcPr>
          <w:p w14:paraId="3669391E"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n262</w:t>
            </w:r>
          </w:p>
        </w:tc>
      </w:tr>
      <w:tr w:rsidR="008A21EF" w:rsidRPr="008A21EF" w14:paraId="660091C8" w14:textId="77777777" w:rsidTr="00FC2C71">
        <w:trPr>
          <w:trHeight w:val="315"/>
        </w:trPr>
        <w:tc>
          <w:tcPr>
            <w:tcW w:w="3800" w:type="dxa"/>
            <w:tcBorders>
              <w:left w:val="single" w:sz="12" w:space="0" w:color="auto"/>
            </w:tcBorders>
            <w:vAlign w:val="center"/>
            <w:hideMark/>
          </w:tcPr>
          <w:p w14:paraId="71AEE389" w14:textId="77777777" w:rsidR="008A21EF" w:rsidRPr="008A21EF" w:rsidRDefault="008A21EF" w:rsidP="008A21EF">
            <w:pPr>
              <w:jc w:val="both"/>
              <w:rPr>
                <w:rFonts w:asciiTheme="minorHAnsi" w:hAnsiTheme="minorHAnsi"/>
                <w:sz w:val="18"/>
                <w:szCs w:val="18"/>
              </w:rPr>
            </w:pPr>
            <w:r w:rsidRPr="008A21EF">
              <w:rPr>
                <w:rFonts w:asciiTheme="minorHAnsi" w:hAnsiTheme="minorHAnsi"/>
                <w:sz w:val="18"/>
                <w:szCs w:val="18"/>
              </w:rPr>
              <w:t>Frequency range</w:t>
            </w:r>
          </w:p>
        </w:tc>
        <w:tc>
          <w:tcPr>
            <w:tcW w:w="1240" w:type="dxa"/>
            <w:tcBorders>
              <w:right w:val="single" w:sz="12" w:space="0" w:color="auto"/>
            </w:tcBorders>
            <w:vAlign w:val="center"/>
            <w:hideMark/>
          </w:tcPr>
          <w:p w14:paraId="5D5C04AA"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GHz</w:t>
            </w:r>
          </w:p>
        </w:tc>
        <w:tc>
          <w:tcPr>
            <w:tcW w:w="1720" w:type="dxa"/>
            <w:tcBorders>
              <w:left w:val="single" w:sz="12" w:space="0" w:color="auto"/>
              <w:right w:val="single" w:sz="12" w:space="0" w:color="auto"/>
            </w:tcBorders>
            <w:vAlign w:val="center"/>
            <w:hideMark/>
          </w:tcPr>
          <w:p w14:paraId="2E2BDE60"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47.2 – 48.2</w:t>
            </w:r>
          </w:p>
        </w:tc>
        <w:tc>
          <w:tcPr>
            <w:tcW w:w="1720" w:type="dxa"/>
            <w:tcBorders>
              <w:left w:val="single" w:sz="12" w:space="0" w:color="auto"/>
              <w:right w:val="single" w:sz="12" w:space="0" w:color="auto"/>
            </w:tcBorders>
            <w:vAlign w:val="center"/>
            <w:hideMark/>
          </w:tcPr>
          <w:p w14:paraId="63FEE2F0"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47.2 – 48.2</w:t>
            </w:r>
          </w:p>
        </w:tc>
        <w:tc>
          <w:tcPr>
            <w:tcW w:w="1720" w:type="dxa"/>
            <w:tcBorders>
              <w:left w:val="single" w:sz="12" w:space="0" w:color="auto"/>
              <w:right w:val="single" w:sz="12" w:space="0" w:color="auto"/>
            </w:tcBorders>
            <w:vAlign w:val="center"/>
            <w:hideMark/>
          </w:tcPr>
          <w:p w14:paraId="4454F7C4"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47.2 – 48.2</w:t>
            </w:r>
          </w:p>
        </w:tc>
        <w:tc>
          <w:tcPr>
            <w:tcW w:w="1720" w:type="dxa"/>
            <w:tcBorders>
              <w:left w:val="single" w:sz="12" w:space="0" w:color="auto"/>
              <w:right w:val="single" w:sz="12" w:space="0" w:color="auto"/>
            </w:tcBorders>
            <w:vAlign w:val="center"/>
            <w:hideMark/>
          </w:tcPr>
          <w:p w14:paraId="0AB1E73C"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47.2 – 48.2</w:t>
            </w:r>
          </w:p>
        </w:tc>
      </w:tr>
      <w:tr w:rsidR="008A21EF" w:rsidRPr="008A21EF" w14:paraId="34A407EA" w14:textId="77777777" w:rsidTr="00FC2C71">
        <w:trPr>
          <w:trHeight w:val="315"/>
        </w:trPr>
        <w:tc>
          <w:tcPr>
            <w:tcW w:w="3800" w:type="dxa"/>
            <w:tcBorders>
              <w:left w:val="single" w:sz="12" w:space="0" w:color="auto"/>
            </w:tcBorders>
            <w:vAlign w:val="center"/>
            <w:hideMark/>
          </w:tcPr>
          <w:p w14:paraId="3EE58D35" w14:textId="77777777" w:rsidR="008A21EF" w:rsidRPr="008A21EF" w:rsidRDefault="008A21EF" w:rsidP="008A21EF">
            <w:pPr>
              <w:jc w:val="both"/>
              <w:rPr>
                <w:rFonts w:asciiTheme="minorHAnsi" w:hAnsiTheme="minorHAnsi"/>
                <w:sz w:val="18"/>
                <w:szCs w:val="18"/>
              </w:rPr>
            </w:pPr>
            <w:r w:rsidRPr="008A21EF">
              <w:rPr>
                <w:rFonts w:asciiTheme="minorHAnsi" w:hAnsiTheme="minorHAnsi"/>
                <w:sz w:val="18"/>
                <w:szCs w:val="18"/>
              </w:rPr>
              <w:t>Modulation</w:t>
            </w:r>
          </w:p>
        </w:tc>
        <w:tc>
          <w:tcPr>
            <w:tcW w:w="1240" w:type="dxa"/>
            <w:tcBorders>
              <w:right w:val="single" w:sz="12" w:space="0" w:color="auto"/>
            </w:tcBorders>
            <w:vAlign w:val="center"/>
            <w:hideMark/>
          </w:tcPr>
          <w:p w14:paraId="07670525" w14:textId="3A9CE948" w:rsidR="008A21EF" w:rsidRPr="008A21EF" w:rsidRDefault="008A21EF" w:rsidP="008A21EF">
            <w:pPr>
              <w:jc w:val="center"/>
              <w:rPr>
                <w:rFonts w:asciiTheme="minorHAnsi" w:hAnsiTheme="minorHAnsi"/>
                <w:sz w:val="18"/>
                <w:szCs w:val="18"/>
              </w:rPr>
            </w:pPr>
          </w:p>
        </w:tc>
        <w:tc>
          <w:tcPr>
            <w:tcW w:w="1720" w:type="dxa"/>
            <w:tcBorders>
              <w:left w:val="single" w:sz="12" w:space="0" w:color="auto"/>
              <w:right w:val="single" w:sz="12" w:space="0" w:color="auto"/>
            </w:tcBorders>
            <w:vAlign w:val="center"/>
            <w:hideMark/>
          </w:tcPr>
          <w:p w14:paraId="163D1C95"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QPSK</w:t>
            </w:r>
          </w:p>
        </w:tc>
        <w:tc>
          <w:tcPr>
            <w:tcW w:w="1720" w:type="dxa"/>
            <w:tcBorders>
              <w:left w:val="single" w:sz="12" w:space="0" w:color="auto"/>
              <w:right w:val="single" w:sz="12" w:space="0" w:color="auto"/>
            </w:tcBorders>
            <w:vAlign w:val="center"/>
            <w:hideMark/>
          </w:tcPr>
          <w:p w14:paraId="417E4630"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QPSK</w:t>
            </w:r>
          </w:p>
        </w:tc>
        <w:tc>
          <w:tcPr>
            <w:tcW w:w="1720" w:type="dxa"/>
            <w:tcBorders>
              <w:left w:val="single" w:sz="12" w:space="0" w:color="auto"/>
              <w:right w:val="single" w:sz="12" w:space="0" w:color="auto"/>
            </w:tcBorders>
            <w:vAlign w:val="center"/>
            <w:hideMark/>
          </w:tcPr>
          <w:p w14:paraId="245772E9"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QPSK</w:t>
            </w:r>
          </w:p>
        </w:tc>
        <w:tc>
          <w:tcPr>
            <w:tcW w:w="1720" w:type="dxa"/>
            <w:tcBorders>
              <w:left w:val="single" w:sz="12" w:space="0" w:color="auto"/>
              <w:right w:val="single" w:sz="12" w:space="0" w:color="auto"/>
            </w:tcBorders>
            <w:vAlign w:val="center"/>
            <w:hideMark/>
          </w:tcPr>
          <w:p w14:paraId="49E01575"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QPSK</w:t>
            </w:r>
          </w:p>
        </w:tc>
      </w:tr>
      <w:tr w:rsidR="008A21EF" w:rsidRPr="008A21EF" w14:paraId="6F28E6EF" w14:textId="77777777" w:rsidTr="00FC2C71">
        <w:trPr>
          <w:trHeight w:val="315"/>
        </w:trPr>
        <w:tc>
          <w:tcPr>
            <w:tcW w:w="3800" w:type="dxa"/>
            <w:tcBorders>
              <w:left w:val="single" w:sz="12" w:space="0" w:color="auto"/>
            </w:tcBorders>
            <w:vAlign w:val="center"/>
            <w:hideMark/>
          </w:tcPr>
          <w:p w14:paraId="13D070C1" w14:textId="77777777" w:rsidR="008A21EF" w:rsidRPr="008A21EF" w:rsidRDefault="008A21EF" w:rsidP="008A21EF">
            <w:pPr>
              <w:jc w:val="both"/>
              <w:rPr>
                <w:rFonts w:asciiTheme="minorHAnsi" w:hAnsiTheme="minorHAnsi"/>
                <w:sz w:val="18"/>
                <w:szCs w:val="18"/>
              </w:rPr>
            </w:pPr>
            <w:r w:rsidRPr="008A21EF">
              <w:rPr>
                <w:rFonts w:asciiTheme="minorHAnsi" w:hAnsiTheme="minorHAnsi"/>
                <w:sz w:val="18"/>
                <w:szCs w:val="18"/>
              </w:rPr>
              <w:t>SNR requirement</w:t>
            </w:r>
          </w:p>
        </w:tc>
        <w:tc>
          <w:tcPr>
            <w:tcW w:w="1240" w:type="dxa"/>
            <w:tcBorders>
              <w:right w:val="single" w:sz="12" w:space="0" w:color="auto"/>
            </w:tcBorders>
            <w:vAlign w:val="center"/>
            <w:hideMark/>
          </w:tcPr>
          <w:p w14:paraId="3E82604C"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dB</w:t>
            </w:r>
          </w:p>
        </w:tc>
        <w:tc>
          <w:tcPr>
            <w:tcW w:w="1720" w:type="dxa"/>
            <w:tcBorders>
              <w:left w:val="single" w:sz="12" w:space="0" w:color="auto"/>
              <w:right w:val="single" w:sz="12" w:space="0" w:color="auto"/>
            </w:tcBorders>
            <w:vAlign w:val="center"/>
            <w:hideMark/>
          </w:tcPr>
          <w:p w14:paraId="2AB528B0"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w:t>
            </w:r>
          </w:p>
        </w:tc>
        <w:tc>
          <w:tcPr>
            <w:tcW w:w="1720" w:type="dxa"/>
            <w:tcBorders>
              <w:left w:val="single" w:sz="12" w:space="0" w:color="auto"/>
              <w:right w:val="single" w:sz="12" w:space="0" w:color="auto"/>
            </w:tcBorders>
            <w:vAlign w:val="center"/>
            <w:hideMark/>
          </w:tcPr>
          <w:p w14:paraId="02E6C30E"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w:t>
            </w:r>
          </w:p>
        </w:tc>
        <w:tc>
          <w:tcPr>
            <w:tcW w:w="1720" w:type="dxa"/>
            <w:tcBorders>
              <w:left w:val="single" w:sz="12" w:space="0" w:color="auto"/>
              <w:right w:val="single" w:sz="12" w:space="0" w:color="auto"/>
            </w:tcBorders>
            <w:vAlign w:val="center"/>
            <w:hideMark/>
          </w:tcPr>
          <w:p w14:paraId="69D59EC4"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w:t>
            </w:r>
          </w:p>
        </w:tc>
        <w:tc>
          <w:tcPr>
            <w:tcW w:w="1720" w:type="dxa"/>
            <w:tcBorders>
              <w:left w:val="single" w:sz="12" w:space="0" w:color="auto"/>
              <w:right w:val="single" w:sz="12" w:space="0" w:color="auto"/>
            </w:tcBorders>
            <w:vAlign w:val="center"/>
            <w:hideMark/>
          </w:tcPr>
          <w:p w14:paraId="4338A543"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w:t>
            </w:r>
          </w:p>
        </w:tc>
      </w:tr>
      <w:tr w:rsidR="008A21EF" w:rsidRPr="008A21EF" w14:paraId="4CFC35DC" w14:textId="77777777" w:rsidTr="00FC2C71">
        <w:trPr>
          <w:trHeight w:val="315"/>
        </w:trPr>
        <w:tc>
          <w:tcPr>
            <w:tcW w:w="3800" w:type="dxa"/>
            <w:tcBorders>
              <w:left w:val="single" w:sz="12" w:space="0" w:color="auto"/>
            </w:tcBorders>
            <w:vAlign w:val="center"/>
            <w:hideMark/>
          </w:tcPr>
          <w:p w14:paraId="0F3058BC" w14:textId="68DBFA2A" w:rsidR="008A21EF" w:rsidRPr="008A21EF" w:rsidRDefault="008A21EF" w:rsidP="008A21EF">
            <w:pPr>
              <w:jc w:val="both"/>
              <w:rPr>
                <w:rFonts w:asciiTheme="minorHAnsi" w:hAnsiTheme="minorHAnsi"/>
                <w:sz w:val="18"/>
                <w:szCs w:val="18"/>
              </w:rPr>
            </w:pPr>
            <w:r w:rsidRPr="008A21EF">
              <w:rPr>
                <w:rFonts w:asciiTheme="minorHAnsi" w:hAnsiTheme="minorHAnsi"/>
                <w:sz w:val="18"/>
                <w:szCs w:val="18"/>
              </w:rPr>
              <w:t>Implementation margin</w:t>
            </w:r>
            <w:r w:rsidR="00FC2C71">
              <w:rPr>
                <w:rFonts w:asciiTheme="minorHAnsi" w:hAnsiTheme="minorHAnsi"/>
                <w:sz w:val="18"/>
                <w:szCs w:val="18"/>
              </w:rPr>
              <w:t xml:space="preserve"> (IM)</w:t>
            </w:r>
          </w:p>
        </w:tc>
        <w:tc>
          <w:tcPr>
            <w:tcW w:w="1240" w:type="dxa"/>
            <w:tcBorders>
              <w:right w:val="single" w:sz="12" w:space="0" w:color="auto"/>
            </w:tcBorders>
            <w:vAlign w:val="center"/>
            <w:hideMark/>
          </w:tcPr>
          <w:p w14:paraId="4CC8EC27"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dB</w:t>
            </w:r>
          </w:p>
        </w:tc>
        <w:tc>
          <w:tcPr>
            <w:tcW w:w="1720" w:type="dxa"/>
            <w:tcBorders>
              <w:left w:val="single" w:sz="12" w:space="0" w:color="auto"/>
              <w:right w:val="single" w:sz="12" w:space="0" w:color="auto"/>
            </w:tcBorders>
            <w:vAlign w:val="center"/>
            <w:hideMark/>
          </w:tcPr>
          <w:p w14:paraId="5318756D"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w:t>
            </w:r>
          </w:p>
        </w:tc>
        <w:tc>
          <w:tcPr>
            <w:tcW w:w="1720" w:type="dxa"/>
            <w:tcBorders>
              <w:left w:val="single" w:sz="12" w:space="0" w:color="auto"/>
              <w:right w:val="single" w:sz="12" w:space="0" w:color="auto"/>
            </w:tcBorders>
            <w:vAlign w:val="center"/>
            <w:hideMark/>
          </w:tcPr>
          <w:p w14:paraId="6C5DA798"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w:t>
            </w:r>
          </w:p>
        </w:tc>
        <w:tc>
          <w:tcPr>
            <w:tcW w:w="1720" w:type="dxa"/>
            <w:tcBorders>
              <w:left w:val="single" w:sz="12" w:space="0" w:color="auto"/>
              <w:right w:val="single" w:sz="12" w:space="0" w:color="auto"/>
            </w:tcBorders>
            <w:vAlign w:val="center"/>
            <w:hideMark/>
          </w:tcPr>
          <w:p w14:paraId="5FF3599E"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w:t>
            </w:r>
          </w:p>
        </w:tc>
        <w:tc>
          <w:tcPr>
            <w:tcW w:w="1720" w:type="dxa"/>
            <w:tcBorders>
              <w:left w:val="single" w:sz="12" w:space="0" w:color="auto"/>
              <w:right w:val="single" w:sz="12" w:space="0" w:color="auto"/>
            </w:tcBorders>
            <w:vAlign w:val="center"/>
            <w:hideMark/>
          </w:tcPr>
          <w:p w14:paraId="15C1F5B7"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w:t>
            </w:r>
          </w:p>
        </w:tc>
      </w:tr>
      <w:tr w:rsidR="008A21EF" w:rsidRPr="008A21EF" w14:paraId="72E4204C" w14:textId="77777777" w:rsidTr="00FC2C71">
        <w:trPr>
          <w:trHeight w:val="315"/>
        </w:trPr>
        <w:tc>
          <w:tcPr>
            <w:tcW w:w="3800" w:type="dxa"/>
            <w:tcBorders>
              <w:left w:val="single" w:sz="12" w:space="0" w:color="auto"/>
            </w:tcBorders>
            <w:vAlign w:val="center"/>
            <w:hideMark/>
          </w:tcPr>
          <w:p w14:paraId="02AB2499" w14:textId="77777777" w:rsidR="008A21EF" w:rsidRPr="008A21EF" w:rsidRDefault="008A21EF" w:rsidP="008A21EF">
            <w:pPr>
              <w:jc w:val="both"/>
              <w:rPr>
                <w:rFonts w:asciiTheme="minorHAnsi" w:hAnsiTheme="minorHAnsi"/>
                <w:sz w:val="18"/>
                <w:szCs w:val="18"/>
              </w:rPr>
            </w:pPr>
            <w:r w:rsidRPr="008A21EF">
              <w:rPr>
                <w:rFonts w:asciiTheme="minorHAnsi" w:hAnsiTheme="minorHAnsi"/>
                <w:sz w:val="18"/>
                <w:szCs w:val="18"/>
              </w:rPr>
              <w:t>Bandwidth</w:t>
            </w:r>
          </w:p>
        </w:tc>
        <w:tc>
          <w:tcPr>
            <w:tcW w:w="1240" w:type="dxa"/>
            <w:tcBorders>
              <w:right w:val="single" w:sz="12" w:space="0" w:color="auto"/>
            </w:tcBorders>
            <w:vAlign w:val="center"/>
            <w:hideMark/>
          </w:tcPr>
          <w:p w14:paraId="7AA7B5BB"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MHz</w:t>
            </w:r>
          </w:p>
        </w:tc>
        <w:tc>
          <w:tcPr>
            <w:tcW w:w="1720" w:type="dxa"/>
            <w:tcBorders>
              <w:left w:val="single" w:sz="12" w:space="0" w:color="auto"/>
              <w:right w:val="single" w:sz="12" w:space="0" w:color="auto"/>
            </w:tcBorders>
            <w:vAlign w:val="center"/>
            <w:hideMark/>
          </w:tcPr>
          <w:p w14:paraId="0EF3B0F6"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100</w:t>
            </w:r>
          </w:p>
        </w:tc>
        <w:tc>
          <w:tcPr>
            <w:tcW w:w="1720" w:type="dxa"/>
            <w:tcBorders>
              <w:left w:val="single" w:sz="12" w:space="0" w:color="auto"/>
              <w:right w:val="single" w:sz="12" w:space="0" w:color="auto"/>
            </w:tcBorders>
            <w:vAlign w:val="center"/>
            <w:hideMark/>
          </w:tcPr>
          <w:p w14:paraId="35D898AC"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100</w:t>
            </w:r>
          </w:p>
        </w:tc>
        <w:tc>
          <w:tcPr>
            <w:tcW w:w="1720" w:type="dxa"/>
            <w:tcBorders>
              <w:left w:val="single" w:sz="12" w:space="0" w:color="auto"/>
              <w:right w:val="single" w:sz="12" w:space="0" w:color="auto"/>
            </w:tcBorders>
            <w:vAlign w:val="center"/>
            <w:hideMark/>
          </w:tcPr>
          <w:p w14:paraId="5165C704"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100</w:t>
            </w:r>
          </w:p>
        </w:tc>
        <w:tc>
          <w:tcPr>
            <w:tcW w:w="1720" w:type="dxa"/>
            <w:tcBorders>
              <w:left w:val="single" w:sz="12" w:space="0" w:color="auto"/>
              <w:right w:val="single" w:sz="12" w:space="0" w:color="auto"/>
            </w:tcBorders>
            <w:vAlign w:val="center"/>
            <w:hideMark/>
          </w:tcPr>
          <w:p w14:paraId="4890B7B3"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100</w:t>
            </w:r>
          </w:p>
        </w:tc>
      </w:tr>
      <w:tr w:rsidR="008A21EF" w:rsidRPr="008A21EF" w14:paraId="572BFE4A" w14:textId="77777777" w:rsidTr="00FC2C71">
        <w:trPr>
          <w:trHeight w:val="315"/>
        </w:trPr>
        <w:tc>
          <w:tcPr>
            <w:tcW w:w="3800" w:type="dxa"/>
            <w:tcBorders>
              <w:left w:val="single" w:sz="12" w:space="0" w:color="auto"/>
            </w:tcBorders>
            <w:vAlign w:val="center"/>
            <w:hideMark/>
          </w:tcPr>
          <w:p w14:paraId="34B7EE62" w14:textId="77777777" w:rsidR="008A21EF" w:rsidRPr="008A21EF" w:rsidRDefault="008A21EF" w:rsidP="008A21EF">
            <w:pPr>
              <w:jc w:val="both"/>
              <w:rPr>
                <w:rFonts w:asciiTheme="minorHAnsi" w:hAnsiTheme="minorHAnsi"/>
                <w:sz w:val="18"/>
                <w:szCs w:val="18"/>
              </w:rPr>
            </w:pPr>
            <w:r w:rsidRPr="008A21EF">
              <w:rPr>
                <w:rFonts w:asciiTheme="minorHAnsi" w:hAnsiTheme="minorHAnsi"/>
                <w:sz w:val="18"/>
                <w:szCs w:val="18"/>
              </w:rPr>
              <w:t>Thermal noise</w:t>
            </w:r>
          </w:p>
        </w:tc>
        <w:tc>
          <w:tcPr>
            <w:tcW w:w="1240" w:type="dxa"/>
            <w:tcBorders>
              <w:right w:val="single" w:sz="12" w:space="0" w:color="auto"/>
            </w:tcBorders>
            <w:vAlign w:val="center"/>
            <w:hideMark/>
          </w:tcPr>
          <w:p w14:paraId="0F40F94D"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dBm/Hz</w:t>
            </w:r>
          </w:p>
        </w:tc>
        <w:tc>
          <w:tcPr>
            <w:tcW w:w="1720" w:type="dxa"/>
            <w:tcBorders>
              <w:left w:val="single" w:sz="12" w:space="0" w:color="auto"/>
              <w:right w:val="single" w:sz="12" w:space="0" w:color="auto"/>
            </w:tcBorders>
            <w:vAlign w:val="center"/>
            <w:hideMark/>
          </w:tcPr>
          <w:p w14:paraId="4AA8AE54"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-174</w:t>
            </w:r>
          </w:p>
        </w:tc>
        <w:tc>
          <w:tcPr>
            <w:tcW w:w="1720" w:type="dxa"/>
            <w:tcBorders>
              <w:left w:val="single" w:sz="12" w:space="0" w:color="auto"/>
              <w:right w:val="single" w:sz="12" w:space="0" w:color="auto"/>
            </w:tcBorders>
            <w:vAlign w:val="center"/>
            <w:hideMark/>
          </w:tcPr>
          <w:p w14:paraId="44349E90"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-174</w:t>
            </w:r>
          </w:p>
        </w:tc>
        <w:tc>
          <w:tcPr>
            <w:tcW w:w="1720" w:type="dxa"/>
            <w:tcBorders>
              <w:left w:val="single" w:sz="12" w:space="0" w:color="auto"/>
              <w:right w:val="single" w:sz="12" w:space="0" w:color="auto"/>
            </w:tcBorders>
            <w:vAlign w:val="center"/>
            <w:hideMark/>
          </w:tcPr>
          <w:p w14:paraId="31B3D02E"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-174</w:t>
            </w:r>
          </w:p>
        </w:tc>
        <w:tc>
          <w:tcPr>
            <w:tcW w:w="1720" w:type="dxa"/>
            <w:tcBorders>
              <w:left w:val="single" w:sz="12" w:space="0" w:color="auto"/>
              <w:right w:val="single" w:sz="12" w:space="0" w:color="auto"/>
            </w:tcBorders>
            <w:vAlign w:val="center"/>
            <w:hideMark/>
          </w:tcPr>
          <w:p w14:paraId="5A4654B1"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-174</w:t>
            </w:r>
          </w:p>
        </w:tc>
      </w:tr>
      <w:tr w:rsidR="008A21EF" w:rsidRPr="008A21EF" w14:paraId="399C0EBA" w14:textId="77777777" w:rsidTr="00FC2C71">
        <w:trPr>
          <w:trHeight w:val="630"/>
        </w:trPr>
        <w:tc>
          <w:tcPr>
            <w:tcW w:w="3800" w:type="dxa"/>
            <w:tcBorders>
              <w:left w:val="single" w:sz="12" w:space="0" w:color="auto"/>
            </w:tcBorders>
            <w:vAlign w:val="center"/>
            <w:hideMark/>
          </w:tcPr>
          <w:p w14:paraId="4DC73D9D" w14:textId="2E146899" w:rsidR="008A21EF" w:rsidRPr="008A21EF" w:rsidRDefault="008A21EF" w:rsidP="008A21EF">
            <w:pPr>
              <w:jc w:val="both"/>
              <w:rPr>
                <w:rFonts w:asciiTheme="minorHAnsi" w:hAnsiTheme="minorHAnsi"/>
                <w:sz w:val="18"/>
                <w:szCs w:val="18"/>
              </w:rPr>
            </w:pPr>
            <w:r w:rsidRPr="008A21EF">
              <w:rPr>
                <w:rFonts w:asciiTheme="minorHAnsi" w:hAnsiTheme="minorHAnsi"/>
                <w:sz w:val="18"/>
                <w:szCs w:val="18"/>
              </w:rPr>
              <w:t>Noise Figure</w:t>
            </w:r>
            <w:r w:rsidR="00500BA1">
              <w:rPr>
                <w:rFonts w:asciiTheme="minorHAnsi" w:hAnsiTheme="minorHAnsi"/>
                <w:sz w:val="18"/>
                <w:szCs w:val="18"/>
              </w:rPr>
              <w:t xml:space="preserve"> (NF)</w:t>
            </w:r>
          </w:p>
        </w:tc>
        <w:tc>
          <w:tcPr>
            <w:tcW w:w="1240" w:type="dxa"/>
            <w:tcBorders>
              <w:right w:val="single" w:sz="12" w:space="0" w:color="auto"/>
            </w:tcBorders>
            <w:vAlign w:val="center"/>
            <w:hideMark/>
          </w:tcPr>
          <w:p w14:paraId="6F939CFA"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dB</w:t>
            </w:r>
          </w:p>
        </w:tc>
        <w:tc>
          <w:tcPr>
            <w:tcW w:w="1720" w:type="dxa"/>
            <w:tcBorders>
              <w:left w:val="single" w:sz="12" w:space="0" w:color="auto"/>
              <w:right w:val="single" w:sz="12" w:space="0" w:color="auto"/>
            </w:tcBorders>
            <w:vAlign w:val="center"/>
            <w:hideMark/>
          </w:tcPr>
          <w:p w14:paraId="0CFA2712"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12.7</w:t>
            </w:r>
          </w:p>
        </w:tc>
        <w:tc>
          <w:tcPr>
            <w:tcW w:w="1720" w:type="dxa"/>
            <w:tcBorders>
              <w:left w:val="single" w:sz="12" w:space="0" w:color="auto"/>
              <w:right w:val="single" w:sz="12" w:space="0" w:color="auto"/>
            </w:tcBorders>
            <w:vAlign w:val="center"/>
            <w:hideMark/>
          </w:tcPr>
          <w:p w14:paraId="73B9A7F1"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12.7</w:t>
            </w:r>
          </w:p>
        </w:tc>
        <w:tc>
          <w:tcPr>
            <w:tcW w:w="1720" w:type="dxa"/>
            <w:tcBorders>
              <w:left w:val="single" w:sz="12" w:space="0" w:color="auto"/>
              <w:right w:val="single" w:sz="12" w:space="0" w:color="auto"/>
            </w:tcBorders>
            <w:vAlign w:val="center"/>
            <w:hideMark/>
          </w:tcPr>
          <w:p w14:paraId="346CB08D"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12.7</w:t>
            </w:r>
          </w:p>
        </w:tc>
        <w:tc>
          <w:tcPr>
            <w:tcW w:w="1720" w:type="dxa"/>
            <w:tcBorders>
              <w:left w:val="single" w:sz="12" w:space="0" w:color="auto"/>
              <w:right w:val="single" w:sz="12" w:space="0" w:color="auto"/>
            </w:tcBorders>
            <w:vAlign w:val="center"/>
            <w:hideMark/>
          </w:tcPr>
          <w:p w14:paraId="48BDEF8F"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12.7</w:t>
            </w:r>
          </w:p>
        </w:tc>
      </w:tr>
      <w:tr w:rsidR="008A21EF" w:rsidRPr="008A21EF" w14:paraId="4A29D53A" w14:textId="77777777" w:rsidTr="00FC2C71">
        <w:trPr>
          <w:trHeight w:val="315"/>
        </w:trPr>
        <w:tc>
          <w:tcPr>
            <w:tcW w:w="3800" w:type="dxa"/>
            <w:tcBorders>
              <w:left w:val="single" w:sz="12" w:space="0" w:color="auto"/>
            </w:tcBorders>
            <w:vAlign w:val="center"/>
            <w:hideMark/>
          </w:tcPr>
          <w:p w14:paraId="32EDBDE1" w14:textId="77777777" w:rsidR="008A21EF" w:rsidRPr="008A21EF" w:rsidRDefault="008A21EF" w:rsidP="008A21EF">
            <w:pPr>
              <w:jc w:val="both"/>
              <w:rPr>
                <w:rFonts w:asciiTheme="minorHAnsi" w:hAnsiTheme="minorHAnsi"/>
                <w:sz w:val="18"/>
                <w:szCs w:val="18"/>
              </w:rPr>
            </w:pPr>
            <w:r w:rsidRPr="008A21EF">
              <w:rPr>
                <w:rFonts w:asciiTheme="minorHAnsi" w:hAnsiTheme="minorHAnsi"/>
                <w:sz w:val="18"/>
                <w:szCs w:val="18"/>
              </w:rPr>
              <w:t xml:space="preserve">Number of </w:t>
            </w:r>
            <w:proofErr w:type="gramStart"/>
            <w:r w:rsidRPr="008A21EF">
              <w:rPr>
                <w:rFonts w:asciiTheme="minorHAnsi" w:hAnsiTheme="minorHAnsi"/>
                <w:sz w:val="18"/>
                <w:szCs w:val="18"/>
              </w:rPr>
              <w:t>antenna</w:t>
            </w:r>
            <w:proofErr w:type="gramEnd"/>
            <w:r w:rsidRPr="008A21EF">
              <w:rPr>
                <w:rFonts w:asciiTheme="minorHAnsi" w:hAnsiTheme="minorHAnsi"/>
                <w:sz w:val="18"/>
                <w:szCs w:val="18"/>
              </w:rPr>
              <w:t xml:space="preserve"> in an array</w:t>
            </w:r>
          </w:p>
        </w:tc>
        <w:tc>
          <w:tcPr>
            <w:tcW w:w="1240" w:type="dxa"/>
            <w:tcBorders>
              <w:right w:val="single" w:sz="12" w:space="0" w:color="auto"/>
            </w:tcBorders>
            <w:vAlign w:val="center"/>
            <w:hideMark/>
          </w:tcPr>
          <w:p w14:paraId="659A1F14" w14:textId="30AE2F72" w:rsidR="008A21EF" w:rsidRPr="008A21EF" w:rsidRDefault="008A21EF" w:rsidP="008A21EF">
            <w:pPr>
              <w:jc w:val="center"/>
              <w:rPr>
                <w:rFonts w:asciiTheme="minorHAnsi" w:hAnsiTheme="minorHAnsi"/>
                <w:sz w:val="18"/>
                <w:szCs w:val="18"/>
              </w:rPr>
            </w:pPr>
          </w:p>
        </w:tc>
        <w:tc>
          <w:tcPr>
            <w:tcW w:w="1720" w:type="dxa"/>
            <w:tcBorders>
              <w:left w:val="single" w:sz="12" w:space="0" w:color="auto"/>
              <w:right w:val="single" w:sz="12" w:space="0" w:color="auto"/>
            </w:tcBorders>
            <w:vAlign w:val="center"/>
            <w:hideMark/>
          </w:tcPr>
          <w:p w14:paraId="64A720E6"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16</w:t>
            </w:r>
          </w:p>
        </w:tc>
        <w:tc>
          <w:tcPr>
            <w:tcW w:w="1720" w:type="dxa"/>
            <w:tcBorders>
              <w:left w:val="single" w:sz="12" w:space="0" w:color="auto"/>
              <w:right w:val="single" w:sz="12" w:space="0" w:color="auto"/>
            </w:tcBorders>
            <w:vAlign w:val="center"/>
            <w:hideMark/>
          </w:tcPr>
          <w:p w14:paraId="7AA60133"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8</w:t>
            </w:r>
          </w:p>
        </w:tc>
        <w:tc>
          <w:tcPr>
            <w:tcW w:w="1720" w:type="dxa"/>
            <w:tcBorders>
              <w:left w:val="single" w:sz="12" w:space="0" w:color="auto"/>
              <w:right w:val="single" w:sz="12" w:space="0" w:color="auto"/>
            </w:tcBorders>
            <w:vAlign w:val="center"/>
            <w:hideMark/>
          </w:tcPr>
          <w:p w14:paraId="4D890613"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4</w:t>
            </w:r>
          </w:p>
        </w:tc>
        <w:tc>
          <w:tcPr>
            <w:tcW w:w="1720" w:type="dxa"/>
            <w:tcBorders>
              <w:left w:val="single" w:sz="12" w:space="0" w:color="auto"/>
              <w:right w:val="single" w:sz="12" w:space="0" w:color="auto"/>
            </w:tcBorders>
            <w:vAlign w:val="center"/>
            <w:hideMark/>
          </w:tcPr>
          <w:p w14:paraId="1CBAED2F"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16</w:t>
            </w:r>
          </w:p>
        </w:tc>
      </w:tr>
      <w:tr w:rsidR="008A21EF" w:rsidRPr="008A21EF" w14:paraId="1D7D6E5C" w14:textId="77777777" w:rsidTr="00FC2C71">
        <w:trPr>
          <w:trHeight w:val="315"/>
        </w:trPr>
        <w:tc>
          <w:tcPr>
            <w:tcW w:w="3800" w:type="dxa"/>
            <w:tcBorders>
              <w:left w:val="single" w:sz="12" w:space="0" w:color="auto"/>
            </w:tcBorders>
            <w:vAlign w:val="center"/>
            <w:hideMark/>
          </w:tcPr>
          <w:p w14:paraId="41E5F1E7" w14:textId="77777777" w:rsidR="008A21EF" w:rsidRPr="008A21EF" w:rsidRDefault="008A21EF" w:rsidP="008A21EF">
            <w:pPr>
              <w:jc w:val="both"/>
              <w:rPr>
                <w:rFonts w:asciiTheme="minorHAnsi" w:hAnsiTheme="minorHAnsi"/>
                <w:sz w:val="18"/>
                <w:szCs w:val="18"/>
              </w:rPr>
            </w:pPr>
            <w:r w:rsidRPr="008A21EF">
              <w:rPr>
                <w:rFonts w:asciiTheme="minorHAnsi" w:hAnsiTheme="minorHAnsi"/>
                <w:sz w:val="18"/>
                <w:szCs w:val="18"/>
              </w:rPr>
              <w:t>Array gain</w:t>
            </w:r>
          </w:p>
        </w:tc>
        <w:tc>
          <w:tcPr>
            <w:tcW w:w="1240" w:type="dxa"/>
            <w:tcBorders>
              <w:right w:val="single" w:sz="12" w:space="0" w:color="auto"/>
            </w:tcBorders>
            <w:vAlign w:val="center"/>
            <w:hideMark/>
          </w:tcPr>
          <w:p w14:paraId="2D7E10F9"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dB</w:t>
            </w:r>
          </w:p>
        </w:tc>
        <w:tc>
          <w:tcPr>
            <w:tcW w:w="1720" w:type="dxa"/>
            <w:tcBorders>
              <w:left w:val="single" w:sz="12" w:space="0" w:color="auto"/>
              <w:right w:val="single" w:sz="12" w:space="0" w:color="auto"/>
            </w:tcBorders>
            <w:vAlign w:val="center"/>
            <w:hideMark/>
          </w:tcPr>
          <w:p w14:paraId="585DE311"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10.9</w:t>
            </w:r>
          </w:p>
        </w:tc>
        <w:tc>
          <w:tcPr>
            <w:tcW w:w="1720" w:type="dxa"/>
            <w:tcBorders>
              <w:left w:val="single" w:sz="12" w:space="0" w:color="auto"/>
              <w:right w:val="single" w:sz="12" w:space="0" w:color="auto"/>
            </w:tcBorders>
            <w:vAlign w:val="center"/>
            <w:hideMark/>
          </w:tcPr>
          <w:p w14:paraId="24DCEF60"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7.9</w:t>
            </w:r>
          </w:p>
        </w:tc>
        <w:tc>
          <w:tcPr>
            <w:tcW w:w="1720" w:type="dxa"/>
            <w:tcBorders>
              <w:left w:val="single" w:sz="12" w:space="0" w:color="auto"/>
              <w:right w:val="single" w:sz="12" w:space="0" w:color="auto"/>
            </w:tcBorders>
            <w:vAlign w:val="center"/>
            <w:hideMark/>
          </w:tcPr>
          <w:p w14:paraId="4AD7F471"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4.9</w:t>
            </w:r>
          </w:p>
        </w:tc>
        <w:tc>
          <w:tcPr>
            <w:tcW w:w="1720" w:type="dxa"/>
            <w:tcBorders>
              <w:left w:val="single" w:sz="12" w:space="0" w:color="auto"/>
              <w:right w:val="single" w:sz="12" w:space="0" w:color="auto"/>
            </w:tcBorders>
            <w:vAlign w:val="center"/>
            <w:hideMark/>
          </w:tcPr>
          <w:p w14:paraId="59C9603A"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10.9</w:t>
            </w:r>
          </w:p>
        </w:tc>
      </w:tr>
      <w:tr w:rsidR="008A21EF" w:rsidRPr="008A21EF" w14:paraId="4229C35A" w14:textId="77777777" w:rsidTr="00FC2C71">
        <w:trPr>
          <w:trHeight w:val="315"/>
        </w:trPr>
        <w:tc>
          <w:tcPr>
            <w:tcW w:w="3800" w:type="dxa"/>
            <w:tcBorders>
              <w:left w:val="single" w:sz="12" w:space="0" w:color="auto"/>
            </w:tcBorders>
            <w:vAlign w:val="center"/>
            <w:hideMark/>
          </w:tcPr>
          <w:p w14:paraId="6FFF785D" w14:textId="77777777" w:rsidR="008A21EF" w:rsidRPr="008A21EF" w:rsidRDefault="008A21EF" w:rsidP="008A21EF">
            <w:pPr>
              <w:jc w:val="both"/>
              <w:rPr>
                <w:rFonts w:asciiTheme="minorHAnsi" w:hAnsiTheme="minorHAnsi"/>
                <w:sz w:val="18"/>
                <w:szCs w:val="18"/>
              </w:rPr>
            </w:pPr>
            <w:r w:rsidRPr="008A21EF">
              <w:rPr>
                <w:rFonts w:asciiTheme="minorHAnsi" w:hAnsiTheme="minorHAnsi"/>
                <w:sz w:val="18"/>
                <w:szCs w:val="18"/>
              </w:rPr>
              <w:t>Element gain</w:t>
            </w:r>
          </w:p>
        </w:tc>
        <w:tc>
          <w:tcPr>
            <w:tcW w:w="1240" w:type="dxa"/>
            <w:tcBorders>
              <w:right w:val="single" w:sz="12" w:space="0" w:color="auto"/>
            </w:tcBorders>
            <w:vAlign w:val="center"/>
            <w:hideMark/>
          </w:tcPr>
          <w:p w14:paraId="36B989C9" w14:textId="77777777" w:rsidR="008A21EF" w:rsidRPr="008A21EF" w:rsidRDefault="008A21EF" w:rsidP="008A21EF">
            <w:pPr>
              <w:jc w:val="center"/>
              <w:rPr>
                <w:rFonts w:asciiTheme="minorHAnsi" w:hAnsiTheme="minorHAnsi"/>
                <w:sz w:val="18"/>
                <w:szCs w:val="18"/>
              </w:rPr>
            </w:pPr>
            <w:proofErr w:type="spellStart"/>
            <w:r w:rsidRPr="008A21EF">
              <w:rPr>
                <w:rFonts w:asciiTheme="minorHAnsi" w:hAnsiTheme="minorHAnsi"/>
                <w:sz w:val="18"/>
                <w:szCs w:val="18"/>
              </w:rPr>
              <w:t>dBi</w:t>
            </w:r>
            <w:proofErr w:type="spellEnd"/>
          </w:p>
        </w:tc>
        <w:tc>
          <w:tcPr>
            <w:tcW w:w="1720" w:type="dxa"/>
            <w:tcBorders>
              <w:left w:val="single" w:sz="12" w:space="0" w:color="auto"/>
              <w:right w:val="single" w:sz="12" w:space="0" w:color="auto"/>
            </w:tcBorders>
            <w:vAlign w:val="center"/>
            <w:hideMark/>
          </w:tcPr>
          <w:p w14:paraId="06E7C38F"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5.5</w:t>
            </w:r>
          </w:p>
        </w:tc>
        <w:tc>
          <w:tcPr>
            <w:tcW w:w="1720" w:type="dxa"/>
            <w:tcBorders>
              <w:left w:val="single" w:sz="12" w:space="0" w:color="auto"/>
              <w:right w:val="single" w:sz="12" w:space="0" w:color="auto"/>
            </w:tcBorders>
            <w:vAlign w:val="center"/>
            <w:hideMark/>
          </w:tcPr>
          <w:p w14:paraId="0445E8C5"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5.5</w:t>
            </w:r>
          </w:p>
        </w:tc>
        <w:tc>
          <w:tcPr>
            <w:tcW w:w="1720" w:type="dxa"/>
            <w:tcBorders>
              <w:left w:val="single" w:sz="12" w:space="0" w:color="auto"/>
              <w:right w:val="single" w:sz="12" w:space="0" w:color="auto"/>
            </w:tcBorders>
            <w:vAlign w:val="center"/>
            <w:hideMark/>
          </w:tcPr>
          <w:p w14:paraId="08FF7A4D"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4.5</w:t>
            </w:r>
          </w:p>
        </w:tc>
        <w:tc>
          <w:tcPr>
            <w:tcW w:w="1720" w:type="dxa"/>
            <w:tcBorders>
              <w:left w:val="single" w:sz="12" w:space="0" w:color="auto"/>
              <w:right w:val="single" w:sz="12" w:space="0" w:color="auto"/>
            </w:tcBorders>
            <w:vAlign w:val="center"/>
            <w:hideMark/>
          </w:tcPr>
          <w:p w14:paraId="4C03A04F"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4.5</w:t>
            </w:r>
          </w:p>
        </w:tc>
      </w:tr>
      <w:tr w:rsidR="008A21EF" w:rsidRPr="008A21EF" w14:paraId="72F1FC42" w14:textId="77777777" w:rsidTr="00FC2C71">
        <w:trPr>
          <w:trHeight w:val="315"/>
        </w:trPr>
        <w:tc>
          <w:tcPr>
            <w:tcW w:w="3800" w:type="dxa"/>
            <w:tcBorders>
              <w:left w:val="single" w:sz="12" w:space="0" w:color="auto"/>
            </w:tcBorders>
            <w:vAlign w:val="center"/>
            <w:hideMark/>
          </w:tcPr>
          <w:p w14:paraId="57382691" w14:textId="77777777" w:rsidR="008A21EF" w:rsidRPr="008A21EF" w:rsidRDefault="008A21EF" w:rsidP="008A21EF">
            <w:pPr>
              <w:jc w:val="both"/>
              <w:rPr>
                <w:rFonts w:asciiTheme="minorHAnsi" w:hAnsiTheme="minorHAnsi"/>
                <w:sz w:val="18"/>
                <w:szCs w:val="18"/>
              </w:rPr>
            </w:pPr>
            <w:r w:rsidRPr="008A21EF">
              <w:rPr>
                <w:rFonts w:asciiTheme="minorHAnsi" w:hAnsiTheme="minorHAnsi"/>
                <w:sz w:val="18"/>
                <w:szCs w:val="18"/>
              </w:rPr>
              <w:t>Diversity gain</w:t>
            </w:r>
          </w:p>
        </w:tc>
        <w:tc>
          <w:tcPr>
            <w:tcW w:w="1240" w:type="dxa"/>
            <w:tcBorders>
              <w:right w:val="single" w:sz="12" w:space="0" w:color="auto"/>
            </w:tcBorders>
            <w:vAlign w:val="center"/>
            <w:hideMark/>
          </w:tcPr>
          <w:p w14:paraId="202C5E79"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dB</w:t>
            </w:r>
          </w:p>
        </w:tc>
        <w:tc>
          <w:tcPr>
            <w:tcW w:w="1720" w:type="dxa"/>
            <w:tcBorders>
              <w:left w:val="single" w:sz="12" w:space="0" w:color="auto"/>
              <w:right w:val="single" w:sz="12" w:space="0" w:color="auto"/>
            </w:tcBorders>
            <w:vAlign w:val="center"/>
            <w:hideMark/>
          </w:tcPr>
          <w:p w14:paraId="6130FA9B"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0</w:t>
            </w:r>
          </w:p>
        </w:tc>
        <w:tc>
          <w:tcPr>
            <w:tcW w:w="1720" w:type="dxa"/>
            <w:tcBorders>
              <w:left w:val="single" w:sz="12" w:space="0" w:color="auto"/>
              <w:right w:val="single" w:sz="12" w:space="0" w:color="auto"/>
            </w:tcBorders>
            <w:vAlign w:val="center"/>
            <w:hideMark/>
          </w:tcPr>
          <w:p w14:paraId="2F0B046C"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0</w:t>
            </w:r>
          </w:p>
        </w:tc>
        <w:tc>
          <w:tcPr>
            <w:tcW w:w="1720" w:type="dxa"/>
            <w:tcBorders>
              <w:left w:val="single" w:sz="12" w:space="0" w:color="auto"/>
              <w:right w:val="single" w:sz="12" w:space="0" w:color="auto"/>
            </w:tcBorders>
            <w:vAlign w:val="center"/>
            <w:hideMark/>
          </w:tcPr>
          <w:p w14:paraId="54B55D3A"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0</w:t>
            </w:r>
          </w:p>
        </w:tc>
        <w:tc>
          <w:tcPr>
            <w:tcW w:w="1720" w:type="dxa"/>
            <w:tcBorders>
              <w:left w:val="single" w:sz="12" w:space="0" w:color="auto"/>
              <w:right w:val="single" w:sz="12" w:space="0" w:color="auto"/>
            </w:tcBorders>
            <w:vAlign w:val="center"/>
            <w:hideMark/>
          </w:tcPr>
          <w:p w14:paraId="4CC66A8A"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0</w:t>
            </w:r>
          </w:p>
        </w:tc>
      </w:tr>
      <w:tr w:rsidR="008A21EF" w:rsidRPr="008A21EF" w14:paraId="76907BCF" w14:textId="77777777" w:rsidTr="00FC2C71">
        <w:trPr>
          <w:trHeight w:val="315"/>
        </w:trPr>
        <w:tc>
          <w:tcPr>
            <w:tcW w:w="3800" w:type="dxa"/>
            <w:tcBorders>
              <w:left w:val="single" w:sz="12" w:space="0" w:color="auto"/>
            </w:tcBorders>
            <w:vAlign w:val="center"/>
            <w:hideMark/>
          </w:tcPr>
          <w:p w14:paraId="48675ECC" w14:textId="77777777" w:rsidR="008A21EF" w:rsidRPr="008A21EF" w:rsidRDefault="008A21EF" w:rsidP="008A21EF">
            <w:pPr>
              <w:jc w:val="both"/>
              <w:rPr>
                <w:rFonts w:asciiTheme="minorHAnsi" w:hAnsiTheme="minorHAnsi"/>
                <w:sz w:val="18"/>
                <w:szCs w:val="18"/>
              </w:rPr>
            </w:pPr>
            <w:r w:rsidRPr="008A21EF">
              <w:rPr>
                <w:rFonts w:asciiTheme="minorHAnsi" w:hAnsiTheme="minorHAnsi"/>
                <w:sz w:val="18"/>
                <w:szCs w:val="18"/>
              </w:rPr>
              <w:t>Antenna gain roll-off over frequency</w:t>
            </w:r>
          </w:p>
        </w:tc>
        <w:tc>
          <w:tcPr>
            <w:tcW w:w="1240" w:type="dxa"/>
            <w:tcBorders>
              <w:right w:val="single" w:sz="12" w:space="0" w:color="auto"/>
            </w:tcBorders>
            <w:vAlign w:val="center"/>
            <w:hideMark/>
          </w:tcPr>
          <w:p w14:paraId="40AC8476"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dB</w:t>
            </w:r>
          </w:p>
        </w:tc>
        <w:tc>
          <w:tcPr>
            <w:tcW w:w="1720" w:type="dxa"/>
            <w:tcBorders>
              <w:left w:val="single" w:sz="12" w:space="0" w:color="auto"/>
              <w:right w:val="single" w:sz="12" w:space="0" w:color="auto"/>
            </w:tcBorders>
            <w:vAlign w:val="center"/>
            <w:hideMark/>
          </w:tcPr>
          <w:p w14:paraId="3562803B"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0.5</w:t>
            </w:r>
          </w:p>
        </w:tc>
        <w:tc>
          <w:tcPr>
            <w:tcW w:w="1720" w:type="dxa"/>
            <w:tcBorders>
              <w:left w:val="single" w:sz="12" w:space="0" w:color="auto"/>
              <w:right w:val="single" w:sz="12" w:space="0" w:color="auto"/>
            </w:tcBorders>
            <w:vAlign w:val="center"/>
            <w:hideMark/>
          </w:tcPr>
          <w:p w14:paraId="1EDE175A"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0.5</w:t>
            </w:r>
          </w:p>
        </w:tc>
        <w:tc>
          <w:tcPr>
            <w:tcW w:w="1720" w:type="dxa"/>
            <w:tcBorders>
              <w:left w:val="single" w:sz="12" w:space="0" w:color="auto"/>
              <w:right w:val="single" w:sz="12" w:space="0" w:color="auto"/>
            </w:tcBorders>
            <w:vAlign w:val="center"/>
            <w:hideMark/>
          </w:tcPr>
          <w:p w14:paraId="493288D9"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0.5</w:t>
            </w:r>
          </w:p>
        </w:tc>
        <w:tc>
          <w:tcPr>
            <w:tcW w:w="1720" w:type="dxa"/>
            <w:tcBorders>
              <w:left w:val="single" w:sz="12" w:space="0" w:color="auto"/>
              <w:right w:val="single" w:sz="12" w:space="0" w:color="auto"/>
            </w:tcBorders>
            <w:vAlign w:val="center"/>
            <w:hideMark/>
          </w:tcPr>
          <w:p w14:paraId="32B8CCAB"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0.5</w:t>
            </w:r>
          </w:p>
        </w:tc>
      </w:tr>
      <w:tr w:rsidR="008A21EF" w:rsidRPr="008A21EF" w14:paraId="071AE956" w14:textId="77777777" w:rsidTr="00FC2C71">
        <w:trPr>
          <w:trHeight w:val="315"/>
        </w:trPr>
        <w:tc>
          <w:tcPr>
            <w:tcW w:w="3800" w:type="dxa"/>
            <w:tcBorders>
              <w:left w:val="single" w:sz="12" w:space="0" w:color="auto"/>
            </w:tcBorders>
            <w:vAlign w:val="center"/>
            <w:hideMark/>
          </w:tcPr>
          <w:p w14:paraId="1FEA9D2D" w14:textId="77777777" w:rsidR="008A21EF" w:rsidRPr="008A21EF" w:rsidRDefault="008A21EF" w:rsidP="008A21EF">
            <w:pPr>
              <w:jc w:val="both"/>
              <w:rPr>
                <w:rFonts w:asciiTheme="minorHAnsi" w:hAnsiTheme="minorHAnsi"/>
                <w:sz w:val="18"/>
                <w:szCs w:val="18"/>
              </w:rPr>
            </w:pPr>
            <w:r w:rsidRPr="008A21EF">
              <w:rPr>
                <w:rFonts w:asciiTheme="minorHAnsi" w:hAnsiTheme="minorHAnsi"/>
                <w:sz w:val="18"/>
                <w:szCs w:val="18"/>
              </w:rPr>
              <w:t>Beamforming loss</w:t>
            </w:r>
          </w:p>
        </w:tc>
        <w:tc>
          <w:tcPr>
            <w:tcW w:w="1240" w:type="dxa"/>
            <w:tcBorders>
              <w:right w:val="single" w:sz="12" w:space="0" w:color="auto"/>
            </w:tcBorders>
            <w:vAlign w:val="center"/>
            <w:hideMark/>
          </w:tcPr>
          <w:p w14:paraId="069C8D42"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dB</w:t>
            </w:r>
          </w:p>
        </w:tc>
        <w:tc>
          <w:tcPr>
            <w:tcW w:w="1720" w:type="dxa"/>
            <w:tcBorders>
              <w:left w:val="single" w:sz="12" w:space="0" w:color="auto"/>
              <w:right w:val="single" w:sz="12" w:space="0" w:color="auto"/>
            </w:tcBorders>
            <w:vAlign w:val="center"/>
            <w:hideMark/>
          </w:tcPr>
          <w:p w14:paraId="3EE3E283"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1.5</w:t>
            </w:r>
          </w:p>
        </w:tc>
        <w:tc>
          <w:tcPr>
            <w:tcW w:w="1720" w:type="dxa"/>
            <w:tcBorders>
              <w:left w:val="single" w:sz="12" w:space="0" w:color="auto"/>
              <w:right w:val="single" w:sz="12" w:space="0" w:color="auto"/>
            </w:tcBorders>
            <w:vAlign w:val="center"/>
            <w:hideMark/>
          </w:tcPr>
          <w:p w14:paraId="477584A5"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2</w:t>
            </w:r>
          </w:p>
        </w:tc>
        <w:tc>
          <w:tcPr>
            <w:tcW w:w="1720" w:type="dxa"/>
            <w:tcBorders>
              <w:left w:val="single" w:sz="12" w:space="0" w:color="auto"/>
              <w:right w:val="single" w:sz="12" w:space="0" w:color="auto"/>
            </w:tcBorders>
            <w:vAlign w:val="center"/>
            <w:hideMark/>
          </w:tcPr>
          <w:p w14:paraId="026E8B9B"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2</w:t>
            </w:r>
          </w:p>
        </w:tc>
        <w:tc>
          <w:tcPr>
            <w:tcW w:w="1720" w:type="dxa"/>
            <w:tcBorders>
              <w:left w:val="single" w:sz="12" w:space="0" w:color="auto"/>
              <w:right w:val="single" w:sz="12" w:space="0" w:color="auto"/>
            </w:tcBorders>
            <w:vAlign w:val="center"/>
            <w:hideMark/>
          </w:tcPr>
          <w:p w14:paraId="65EE6EBB"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1.5</w:t>
            </w:r>
          </w:p>
        </w:tc>
      </w:tr>
      <w:tr w:rsidR="008A21EF" w:rsidRPr="008A21EF" w14:paraId="70F98D12" w14:textId="77777777" w:rsidTr="00FC2C71">
        <w:trPr>
          <w:trHeight w:val="315"/>
        </w:trPr>
        <w:tc>
          <w:tcPr>
            <w:tcW w:w="3800" w:type="dxa"/>
            <w:tcBorders>
              <w:left w:val="single" w:sz="12" w:space="0" w:color="auto"/>
            </w:tcBorders>
            <w:vAlign w:val="center"/>
            <w:hideMark/>
          </w:tcPr>
          <w:p w14:paraId="2E7633DA" w14:textId="77777777" w:rsidR="008A21EF" w:rsidRPr="008A21EF" w:rsidRDefault="008A21EF" w:rsidP="008A21EF">
            <w:pPr>
              <w:jc w:val="both"/>
              <w:rPr>
                <w:rFonts w:asciiTheme="minorHAnsi" w:hAnsiTheme="minorHAnsi"/>
                <w:sz w:val="18"/>
                <w:szCs w:val="18"/>
              </w:rPr>
            </w:pPr>
            <w:r w:rsidRPr="008A21EF">
              <w:rPr>
                <w:rFonts w:asciiTheme="minorHAnsi" w:hAnsiTheme="minorHAnsi"/>
                <w:sz w:val="18"/>
                <w:szCs w:val="18"/>
              </w:rPr>
              <w:t>Mismatch and Transmission line loss</w:t>
            </w:r>
          </w:p>
        </w:tc>
        <w:tc>
          <w:tcPr>
            <w:tcW w:w="1240" w:type="dxa"/>
            <w:tcBorders>
              <w:right w:val="single" w:sz="12" w:space="0" w:color="auto"/>
            </w:tcBorders>
            <w:vAlign w:val="center"/>
            <w:hideMark/>
          </w:tcPr>
          <w:p w14:paraId="07B00119"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dB</w:t>
            </w:r>
          </w:p>
        </w:tc>
        <w:tc>
          <w:tcPr>
            <w:tcW w:w="1720" w:type="dxa"/>
            <w:tcBorders>
              <w:left w:val="single" w:sz="12" w:space="0" w:color="auto"/>
              <w:right w:val="single" w:sz="12" w:space="0" w:color="auto"/>
            </w:tcBorders>
            <w:vAlign w:val="center"/>
            <w:hideMark/>
          </w:tcPr>
          <w:p w14:paraId="0626D9D4"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2.5</w:t>
            </w:r>
          </w:p>
        </w:tc>
        <w:tc>
          <w:tcPr>
            <w:tcW w:w="1720" w:type="dxa"/>
            <w:tcBorders>
              <w:left w:val="single" w:sz="12" w:space="0" w:color="auto"/>
              <w:right w:val="single" w:sz="12" w:space="0" w:color="auto"/>
            </w:tcBorders>
            <w:vAlign w:val="center"/>
            <w:hideMark/>
          </w:tcPr>
          <w:p w14:paraId="1B7F40E8"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2.5</w:t>
            </w:r>
          </w:p>
        </w:tc>
        <w:tc>
          <w:tcPr>
            <w:tcW w:w="1720" w:type="dxa"/>
            <w:tcBorders>
              <w:left w:val="single" w:sz="12" w:space="0" w:color="auto"/>
              <w:right w:val="single" w:sz="12" w:space="0" w:color="auto"/>
            </w:tcBorders>
            <w:vAlign w:val="center"/>
            <w:hideMark/>
          </w:tcPr>
          <w:p w14:paraId="7BE9C22B"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2.4</w:t>
            </w:r>
          </w:p>
        </w:tc>
        <w:tc>
          <w:tcPr>
            <w:tcW w:w="1720" w:type="dxa"/>
            <w:tcBorders>
              <w:left w:val="single" w:sz="12" w:space="0" w:color="auto"/>
              <w:right w:val="single" w:sz="12" w:space="0" w:color="auto"/>
            </w:tcBorders>
            <w:vAlign w:val="center"/>
            <w:hideMark/>
          </w:tcPr>
          <w:p w14:paraId="51CAED2C"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2.5</w:t>
            </w:r>
          </w:p>
        </w:tc>
      </w:tr>
      <w:tr w:rsidR="008A21EF" w:rsidRPr="008A21EF" w14:paraId="2095F169" w14:textId="77777777" w:rsidTr="00FC2C71">
        <w:trPr>
          <w:trHeight w:val="315"/>
        </w:trPr>
        <w:tc>
          <w:tcPr>
            <w:tcW w:w="3800" w:type="dxa"/>
            <w:tcBorders>
              <w:left w:val="single" w:sz="12" w:space="0" w:color="auto"/>
            </w:tcBorders>
            <w:vAlign w:val="center"/>
            <w:hideMark/>
          </w:tcPr>
          <w:p w14:paraId="30A5CE72" w14:textId="77777777" w:rsidR="008A21EF" w:rsidRPr="008A21EF" w:rsidRDefault="008A21EF" w:rsidP="008A21EF">
            <w:pPr>
              <w:jc w:val="both"/>
              <w:rPr>
                <w:rFonts w:asciiTheme="minorHAnsi" w:hAnsiTheme="minorHAnsi"/>
                <w:sz w:val="18"/>
                <w:szCs w:val="18"/>
              </w:rPr>
            </w:pPr>
            <w:r w:rsidRPr="008A21EF">
              <w:rPr>
                <w:rFonts w:asciiTheme="minorHAnsi" w:hAnsiTheme="minorHAnsi"/>
                <w:sz w:val="18"/>
                <w:szCs w:val="18"/>
              </w:rPr>
              <w:t>Form factor integration losses</w:t>
            </w:r>
          </w:p>
        </w:tc>
        <w:tc>
          <w:tcPr>
            <w:tcW w:w="1240" w:type="dxa"/>
            <w:tcBorders>
              <w:right w:val="single" w:sz="12" w:space="0" w:color="auto"/>
            </w:tcBorders>
            <w:vAlign w:val="center"/>
            <w:hideMark/>
          </w:tcPr>
          <w:p w14:paraId="63EDBC43"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dB</w:t>
            </w:r>
          </w:p>
        </w:tc>
        <w:tc>
          <w:tcPr>
            <w:tcW w:w="1720" w:type="dxa"/>
            <w:tcBorders>
              <w:left w:val="single" w:sz="12" w:space="0" w:color="auto"/>
              <w:right w:val="single" w:sz="12" w:space="0" w:color="auto"/>
            </w:tcBorders>
            <w:vAlign w:val="center"/>
            <w:hideMark/>
          </w:tcPr>
          <w:p w14:paraId="325C2FCE"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1.5</w:t>
            </w:r>
          </w:p>
        </w:tc>
        <w:tc>
          <w:tcPr>
            <w:tcW w:w="1720" w:type="dxa"/>
            <w:tcBorders>
              <w:left w:val="single" w:sz="12" w:space="0" w:color="auto"/>
              <w:right w:val="single" w:sz="12" w:space="0" w:color="auto"/>
            </w:tcBorders>
            <w:vAlign w:val="center"/>
            <w:hideMark/>
          </w:tcPr>
          <w:p w14:paraId="15A2C708"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5</w:t>
            </w:r>
          </w:p>
        </w:tc>
        <w:tc>
          <w:tcPr>
            <w:tcW w:w="1720" w:type="dxa"/>
            <w:tcBorders>
              <w:left w:val="single" w:sz="12" w:space="0" w:color="auto"/>
              <w:right w:val="single" w:sz="12" w:space="0" w:color="auto"/>
            </w:tcBorders>
            <w:vAlign w:val="center"/>
            <w:hideMark/>
          </w:tcPr>
          <w:p w14:paraId="20BA458A"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6</w:t>
            </w:r>
          </w:p>
        </w:tc>
        <w:tc>
          <w:tcPr>
            <w:tcW w:w="1720" w:type="dxa"/>
            <w:tcBorders>
              <w:left w:val="single" w:sz="12" w:space="0" w:color="auto"/>
              <w:right w:val="single" w:sz="12" w:space="0" w:color="auto"/>
            </w:tcBorders>
            <w:vAlign w:val="center"/>
            <w:hideMark/>
          </w:tcPr>
          <w:p w14:paraId="250A8B7D"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5.5</w:t>
            </w:r>
          </w:p>
        </w:tc>
      </w:tr>
      <w:tr w:rsidR="008A21EF" w:rsidRPr="008A21EF" w14:paraId="3B935132" w14:textId="77777777" w:rsidTr="00FC2C71">
        <w:trPr>
          <w:trHeight w:val="315"/>
        </w:trPr>
        <w:tc>
          <w:tcPr>
            <w:tcW w:w="3800" w:type="dxa"/>
            <w:tcBorders>
              <w:left w:val="single" w:sz="12" w:space="0" w:color="auto"/>
              <w:bottom w:val="single" w:sz="12" w:space="0" w:color="auto"/>
            </w:tcBorders>
            <w:vAlign w:val="center"/>
            <w:hideMark/>
          </w:tcPr>
          <w:p w14:paraId="335B090F" w14:textId="77777777" w:rsidR="008A21EF" w:rsidRPr="008A21EF" w:rsidRDefault="008A21EF" w:rsidP="008A21EF">
            <w:pPr>
              <w:jc w:val="both"/>
              <w:rPr>
                <w:rFonts w:asciiTheme="minorHAnsi" w:hAnsiTheme="minorHAnsi"/>
                <w:sz w:val="18"/>
                <w:szCs w:val="18"/>
              </w:rPr>
            </w:pPr>
            <w:r w:rsidRPr="008A21EF">
              <w:rPr>
                <w:rFonts w:asciiTheme="minorHAnsi" w:hAnsiTheme="minorHAnsi"/>
                <w:sz w:val="18"/>
                <w:szCs w:val="18"/>
              </w:rPr>
              <w:t>REFSENS</w:t>
            </w:r>
          </w:p>
        </w:tc>
        <w:tc>
          <w:tcPr>
            <w:tcW w:w="1240" w:type="dxa"/>
            <w:tcBorders>
              <w:bottom w:val="single" w:sz="12" w:space="0" w:color="auto"/>
              <w:right w:val="single" w:sz="12" w:space="0" w:color="auto"/>
            </w:tcBorders>
            <w:vAlign w:val="center"/>
            <w:hideMark/>
          </w:tcPr>
          <w:p w14:paraId="46775BF7"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dBm</w:t>
            </w:r>
          </w:p>
        </w:tc>
        <w:tc>
          <w:tcPr>
            <w:tcW w:w="1720" w:type="dxa"/>
            <w:tcBorders>
              <w:left w:val="single" w:sz="12" w:space="0" w:color="auto"/>
              <w:bottom w:val="single" w:sz="12" w:space="0" w:color="auto"/>
              <w:right w:val="single" w:sz="12" w:space="0" w:color="auto"/>
            </w:tcBorders>
            <w:shd w:val="clear" w:color="auto" w:fill="FFFF00"/>
            <w:vAlign w:val="center"/>
            <w:hideMark/>
          </w:tcPr>
          <w:p w14:paraId="6C0FF290"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-91.7</w:t>
            </w:r>
          </w:p>
        </w:tc>
        <w:tc>
          <w:tcPr>
            <w:tcW w:w="1720" w:type="dxa"/>
            <w:tcBorders>
              <w:left w:val="single" w:sz="12" w:space="0" w:color="auto"/>
              <w:bottom w:val="single" w:sz="12" w:space="0" w:color="auto"/>
              <w:right w:val="single" w:sz="12" w:space="0" w:color="auto"/>
            </w:tcBorders>
            <w:shd w:val="clear" w:color="auto" w:fill="FFFF00"/>
            <w:vAlign w:val="center"/>
            <w:hideMark/>
          </w:tcPr>
          <w:p w14:paraId="3AD9645E"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-84.7</w:t>
            </w:r>
          </w:p>
        </w:tc>
        <w:tc>
          <w:tcPr>
            <w:tcW w:w="1720" w:type="dxa"/>
            <w:tcBorders>
              <w:left w:val="single" w:sz="12" w:space="0" w:color="auto"/>
              <w:bottom w:val="single" w:sz="12" w:space="0" w:color="auto"/>
              <w:right w:val="single" w:sz="12" w:space="0" w:color="auto"/>
            </w:tcBorders>
            <w:shd w:val="clear" w:color="auto" w:fill="FFFF00"/>
            <w:vAlign w:val="center"/>
            <w:hideMark/>
          </w:tcPr>
          <w:p w14:paraId="40EC2CE9"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-79.8</w:t>
            </w:r>
          </w:p>
        </w:tc>
        <w:tc>
          <w:tcPr>
            <w:tcW w:w="1720" w:type="dxa"/>
            <w:tcBorders>
              <w:left w:val="single" w:sz="12" w:space="0" w:color="auto"/>
              <w:bottom w:val="single" w:sz="12" w:space="0" w:color="auto"/>
              <w:right w:val="single" w:sz="12" w:space="0" w:color="auto"/>
            </w:tcBorders>
            <w:shd w:val="clear" w:color="auto" w:fill="FFFF00"/>
            <w:vAlign w:val="center"/>
            <w:hideMark/>
          </w:tcPr>
          <w:p w14:paraId="3F83BA6A" w14:textId="77777777" w:rsidR="008A21EF" w:rsidRPr="008A21EF" w:rsidRDefault="008A21EF" w:rsidP="008A21EF">
            <w:pPr>
              <w:jc w:val="center"/>
              <w:rPr>
                <w:rFonts w:asciiTheme="minorHAnsi" w:hAnsiTheme="minorHAnsi"/>
                <w:sz w:val="18"/>
                <w:szCs w:val="18"/>
              </w:rPr>
            </w:pPr>
            <w:r w:rsidRPr="008A21EF">
              <w:rPr>
                <w:rFonts w:asciiTheme="minorHAnsi" w:hAnsiTheme="minorHAnsi"/>
                <w:sz w:val="18"/>
                <w:szCs w:val="18"/>
              </w:rPr>
              <w:t>-86.7</w:t>
            </w:r>
          </w:p>
        </w:tc>
      </w:tr>
    </w:tbl>
    <w:p w14:paraId="5EA2ABBE" w14:textId="6EC38C49" w:rsidR="004E0ECE" w:rsidRDefault="004E0ECE" w:rsidP="008A21EF">
      <w:pPr>
        <w:pStyle w:val="Caption"/>
        <w:spacing w:before="120"/>
        <w:jc w:val="center"/>
      </w:pPr>
      <w:bookmarkStart w:id="2" w:name="_Ref54022418"/>
      <w:r>
        <w:t xml:space="preserve">Table </w:t>
      </w:r>
      <w:r>
        <w:fldChar w:fldCharType="begin"/>
      </w:r>
      <w:r>
        <w:instrText xml:space="preserve"> SEQ Table \* ARABIC </w:instrText>
      </w:r>
      <w:r>
        <w:fldChar w:fldCharType="separate"/>
      </w:r>
      <w:r w:rsidR="00D7519F">
        <w:rPr>
          <w:noProof/>
        </w:rPr>
        <w:t>1</w:t>
      </w:r>
      <w:r>
        <w:fldChar w:fldCharType="end"/>
      </w:r>
      <w:bookmarkEnd w:id="2"/>
      <w:r>
        <w:t xml:space="preserve"> Estimation on </w:t>
      </w:r>
      <w:r w:rsidR="005F5D3B">
        <w:t>REFSENS</w:t>
      </w:r>
      <w:r>
        <w:t xml:space="preserve"> for PC</w:t>
      </w:r>
      <w:r w:rsidR="005F5D3B">
        <w:t>1, PC2 and PC4</w:t>
      </w:r>
      <w:r>
        <w:t>: n262</w:t>
      </w:r>
      <w:r w:rsidR="005F5D3B">
        <w:t>. PC3 as a reference.</w:t>
      </w:r>
    </w:p>
    <w:p w14:paraId="21A38665" w14:textId="77777777" w:rsidR="004E0ECE" w:rsidRDefault="004E0ECE" w:rsidP="004E0ECE">
      <w:pPr>
        <w:pStyle w:val="BodyText"/>
        <w:rPr>
          <w:b/>
        </w:rPr>
      </w:pPr>
    </w:p>
    <w:p w14:paraId="1E964A84" w14:textId="611A6221" w:rsidR="00CA3A9E" w:rsidRDefault="001761CC" w:rsidP="00444D16">
      <w:pPr>
        <w:pStyle w:val="Caption"/>
        <w:spacing w:after="120"/>
        <w:ind w:left="1418" w:hanging="1418"/>
      </w:pPr>
      <w:bookmarkStart w:id="3" w:name="_Ref68111206"/>
      <w:bookmarkStart w:id="4" w:name="_Ref20385623"/>
      <w:r w:rsidRPr="00CA3A9E">
        <w:t xml:space="preserve">Proposal </w:t>
      </w:r>
      <w:r w:rsidRPr="00CA3A9E">
        <w:fldChar w:fldCharType="begin"/>
      </w:r>
      <w:r w:rsidRPr="00CA3A9E">
        <w:instrText xml:space="preserve"> SEQ Proposal \* ARABIC </w:instrText>
      </w:r>
      <w:r w:rsidRPr="00CA3A9E">
        <w:fldChar w:fldCharType="separate"/>
      </w:r>
      <w:r w:rsidR="00D7519F">
        <w:rPr>
          <w:noProof/>
        </w:rPr>
        <w:t>2</w:t>
      </w:r>
      <w:r w:rsidRPr="00CA3A9E">
        <w:fldChar w:fldCharType="end"/>
      </w:r>
      <w:r w:rsidR="004E0ECE" w:rsidRPr="00CA3A9E">
        <w:tab/>
        <w:t>According to our estimate minimum peak EIRP</w:t>
      </w:r>
      <w:r w:rsidRPr="00CA3A9E">
        <w:t>,</w:t>
      </w:r>
      <w:r w:rsidR="004E0ECE" w:rsidRPr="00CA3A9E">
        <w:t xml:space="preserve"> </w:t>
      </w:r>
      <w:r w:rsidRPr="00CA3A9E">
        <w:t>n262, shall be:</w:t>
      </w:r>
      <w:r w:rsidRPr="00CA3A9E">
        <w:br/>
        <w:t>PC1</w:t>
      </w:r>
      <w:r w:rsidR="004E0ECE" w:rsidRPr="00CA3A9E">
        <w:t xml:space="preserve"> </w:t>
      </w:r>
      <w:r w:rsidR="00FC2C71">
        <w:t>-91.7</w:t>
      </w:r>
      <w:r w:rsidR="004E0ECE" w:rsidRPr="00CA3A9E">
        <w:t xml:space="preserve"> dBm</w:t>
      </w:r>
      <w:r w:rsidRPr="00CA3A9E">
        <w:t xml:space="preserve">, </w:t>
      </w:r>
      <w:r w:rsidRPr="00CA3A9E">
        <w:br/>
      </w:r>
      <w:r w:rsidR="004E0ECE" w:rsidRPr="00CA3A9E">
        <w:t>PC</w:t>
      </w:r>
      <w:r w:rsidRPr="00CA3A9E">
        <w:t xml:space="preserve">2 </w:t>
      </w:r>
      <w:r w:rsidR="00FC2C71">
        <w:t>-84.5</w:t>
      </w:r>
      <w:r w:rsidRPr="00CA3A9E">
        <w:t>dBm,</w:t>
      </w:r>
      <w:r w:rsidRPr="00CA3A9E">
        <w:br/>
        <w:t xml:space="preserve">PC4 </w:t>
      </w:r>
      <w:r w:rsidR="00FC2C71">
        <w:t>-86.7</w:t>
      </w:r>
      <w:r w:rsidRPr="00CA3A9E">
        <w:t>dB</w:t>
      </w:r>
      <w:r w:rsidR="00BE78E4">
        <w:t>m.</w:t>
      </w:r>
      <w:bookmarkEnd w:id="3"/>
      <w:r w:rsidRPr="00CA3A9E">
        <w:t xml:space="preserve"> </w:t>
      </w:r>
      <w:r w:rsidR="004E0ECE" w:rsidRPr="00CA3A9E">
        <w:t xml:space="preserve"> </w:t>
      </w:r>
      <w:bookmarkEnd w:id="4"/>
    </w:p>
    <w:p w14:paraId="5F103576" w14:textId="4D1E32E1" w:rsidR="00B517B9" w:rsidRDefault="00FC2C71" w:rsidP="00B517B9">
      <w:pPr>
        <w:rPr>
          <w:lang w:eastAsia="zh-CN"/>
        </w:rPr>
      </w:pPr>
      <w:r>
        <w:rPr>
          <w:lang w:eastAsia="zh-CN"/>
        </w:rPr>
        <w:t xml:space="preserve">Even though the assumptions in TR 38.817-01 are outlined </w:t>
      </w:r>
      <w:r w:rsidR="0006134B">
        <w:rPr>
          <w:lang w:eastAsia="zh-CN"/>
        </w:rPr>
        <w:t xml:space="preserve">with </w:t>
      </w:r>
      <w:r>
        <w:rPr>
          <w:lang w:eastAsia="zh-CN"/>
        </w:rPr>
        <w:t xml:space="preserve">respect </w:t>
      </w:r>
      <w:r w:rsidR="00791C14">
        <w:rPr>
          <w:lang w:eastAsia="zh-CN"/>
        </w:rPr>
        <w:t>to</w:t>
      </w:r>
      <w:r>
        <w:rPr>
          <w:lang w:eastAsia="zh-CN"/>
        </w:rPr>
        <w:t xml:space="preserve"> the transmitter</w:t>
      </w:r>
      <w:r w:rsidR="00A87E22">
        <w:rPr>
          <w:lang w:eastAsia="zh-CN"/>
        </w:rPr>
        <w:t>, we have followed</w:t>
      </w:r>
      <w:r>
        <w:rPr>
          <w:lang w:eastAsia="zh-CN"/>
        </w:rPr>
        <w:t xml:space="preserve"> these assumptions</w:t>
      </w:r>
      <w:r w:rsidR="00A87E22">
        <w:rPr>
          <w:lang w:eastAsia="zh-CN"/>
        </w:rPr>
        <w:t xml:space="preserve"> where applicable, </w:t>
      </w:r>
      <w:r>
        <w:rPr>
          <w:lang w:eastAsia="zh-CN"/>
        </w:rPr>
        <w:t xml:space="preserve">assuming the same antenna system </w:t>
      </w:r>
      <w:r w:rsidR="00791C14">
        <w:rPr>
          <w:lang w:eastAsia="zh-CN"/>
        </w:rPr>
        <w:t xml:space="preserve">is used </w:t>
      </w:r>
      <w:r>
        <w:rPr>
          <w:lang w:eastAsia="zh-CN"/>
        </w:rPr>
        <w:t xml:space="preserve">for </w:t>
      </w:r>
      <w:r w:rsidR="00791C14">
        <w:rPr>
          <w:lang w:eastAsia="zh-CN"/>
        </w:rPr>
        <w:t xml:space="preserve">the </w:t>
      </w:r>
      <w:r>
        <w:rPr>
          <w:lang w:eastAsia="zh-CN"/>
        </w:rPr>
        <w:t xml:space="preserve">receiver as for </w:t>
      </w:r>
      <w:r w:rsidR="00791C14">
        <w:rPr>
          <w:lang w:eastAsia="zh-CN"/>
        </w:rPr>
        <w:t xml:space="preserve">the </w:t>
      </w:r>
      <w:r>
        <w:rPr>
          <w:lang w:eastAsia="zh-CN"/>
        </w:rPr>
        <w:t xml:space="preserve">transmitter and </w:t>
      </w:r>
      <w:r w:rsidR="00A87E22">
        <w:rPr>
          <w:lang w:eastAsia="zh-CN"/>
        </w:rPr>
        <w:t>with tweaking for the higher frequency (</w:t>
      </w:r>
      <w:r w:rsidR="00A87E22" w:rsidRPr="00A87E22">
        <w:rPr>
          <w:lang w:eastAsia="zh-CN"/>
        </w:rPr>
        <w:t>47.2 - 48.2</w:t>
      </w:r>
      <w:r w:rsidR="00A87E22">
        <w:rPr>
          <w:lang w:eastAsia="zh-CN"/>
        </w:rPr>
        <w:t xml:space="preserve">GHz versus </w:t>
      </w:r>
      <w:r w:rsidR="00A87E22" w:rsidRPr="00A87E22">
        <w:rPr>
          <w:lang w:eastAsia="zh-CN"/>
        </w:rPr>
        <w:t>24.25-29.5</w:t>
      </w:r>
      <w:r w:rsidR="00A87E22">
        <w:rPr>
          <w:lang w:eastAsia="zh-CN"/>
        </w:rPr>
        <w:t>GHz)</w:t>
      </w:r>
      <w:r w:rsidR="003D16B2" w:rsidRPr="00730030">
        <w:rPr>
          <w:lang w:eastAsia="zh-CN"/>
        </w:rPr>
        <w:t>.</w:t>
      </w:r>
      <w:r w:rsidR="00D96130">
        <w:rPr>
          <w:lang w:eastAsia="zh-CN"/>
        </w:rPr>
        <w:t xml:space="preserve"> Below will follow some comment on the each of th</w:t>
      </w:r>
      <w:r w:rsidR="003D16B2" w:rsidRPr="00730030">
        <w:rPr>
          <w:lang w:eastAsia="zh-CN"/>
        </w:rPr>
        <w:t>e</w:t>
      </w:r>
      <w:r w:rsidR="00D96130">
        <w:rPr>
          <w:lang w:eastAsia="zh-CN"/>
        </w:rPr>
        <w:t xml:space="preserve"> assumptions.</w:t>
      </w:r>
    </w:p>
    <w:p w14:paraId="6C0697F5" w14:textId="7EFD202E" w:rsidR="00CA3A9E" w:rsidRDefault="00500BA1" w:rsidP="00730030">
      <w:pPr>
        <w:pStyle w:val="ListParagraph"/>
        <w:numPr>
          <w:ilvl w:val="0"/>
          <w:numId w:val="38"/>
        </w:numPr>
        <w:rPr>
          <w:lang w:eastAsia="zh-CN"/>
        </w:rPr>
      </w:pPr>
      <w:r>
        <w:rPr>
          <w:lang w:eastAsia="zh-CN"/>
        </w:rPr>
        <w:t>SNR requirement and IM: Required SNR for the base band</w:t>
      </w:r>
      <w:r w:rsidR="00CA3A9E">
        <w:rPr>
          <w:lang w:eastAsia="zh-CN"/>
        </w:rPr>
        <w:t>.</w:t>
      </w:r>
      <w:r>
        <w:rPr>
          <w:lang w:eastAsia="zh-CN"/>
        </w:rPr>
        <w:t xml:space="preserve"> IM is the implementation margin for the base band.</w:t>
      </w:r>
    </w:p>
    <w:p w14:paraId="203F726E" w14:textId="721372A6" w:rsidR="00500BA1" w:rsidRDefault="00500BA1" w:rsidP="00500BA1">
      <w:pPr>
        <w:pStyle w:val="ListParagraph"/>
        <w:numPr>
          <w:ilvl w:val="0"/>
          <w:numId w:val="38"/>
        </w:numPr>
        <w:rPr>
          <w:lang w:eastAsia="zh-CN"/>
        </w:rPr>
      </w:pPr>
      <w:r>
        <w:rPr>
          <w:lang w:eastAsia="zh-CN"/>
        </w:rPr>
        <w:t>Thermal noise: -174dBm</w:t>
      </w:r>
      <w:r w:rsidR="003C3342">
        <w:rPr>
          <w:lang w:eastAsia="zh-CN"/>
        </w:rPr>
        <w:t>/</w:t>
      </w:r>
      <w:r w:rsidR="00725C75">
        <w:rPr>
          <w:lang w:eastAsia="zh-CN"/>
        </w:rPr>
        <w:t>Hz</w:t>
      </w:r>
      <w:r>
        <w:rPr>
          <w:lang w:eastAsia="zh-CN"/>
        </w:rPr>
        <w:t xml:space="preserve"> corresponds to room temperature. Correction for extreme conditions are absorbed in the NF.</w:t>
      </w:r>
    </w:p>
    <w:p w14:paraId="6CB46827" w14:textId="0FF7676B" w:rsidR="00500BA1" w:rsidRDefault="00500BA1" w:rsidP="00730030">
      <w:pPr>
        <w:pStyle w:val="ListParagraph"/>
        <w:numPr>
          <w:ilvl w:val="0"/>
          <w:numId w:val="38"/>
        </w:numPr>
        <w:rPr>
          <w:lang w:eastAsia="zh-CN"/>
        </w:rPr>
      </w:pPr>
      <w:r>
        <w:rPr>
          <w:lang w:eastAsia="zh-CN"/>
        </w:rPr>
        <w:t>Noise figure: NF (in this case) excludes beamformer and transmission line. Extreme conditions (e.g., extreme temperature) is, however, included.</w:t>
      </w:r>
    </w:p>
    <w:p w14:paraId="735DBAD8" w14:textId="2B9DD073" w:rsidR="00D96130" w:rsidRDefault="00500BA1" w:rsidP="00500BA1">
      <w:pPr>
        <w:pStyle w:val="ListParagraph"/>
        <w:numPr>
          <w:ilvl w:val="0"/>
          <w:numId w:val="38"/>
        </w:numPr>
        <w:rPr>
          <w:lang w:eastAsia="zh-CN"/>
        </w:rPr>
      </w:pPr>
      <w:r>
        <w:rPr>
          <w:lang w:eastAsia="zh-CN"/>
        </w:rPr>
        <w:t xml:space="preserve"> </w:t>
      </w:r>
      <w:r w:rsidR="00CA3A9E">
        <w:rPr>
          <w:lang w:eastAsia="zh-CN"/>
        </w:rPr>
        <w:t># of antenna elements in an array</w:t>
      </w:r>
      <w:r w:rsidR="00DC21D9">
        <w:rPr>
          <w:lang w:eastAsia="zh-CN"/>
        </w:rPr>
        <w:t>: This will follow TR 38.817-01. Though, for PC4</w:t>
      </w:r>
      <w:r w:rsidR="00A217B9">
        <w:rPr>
          <w:lang w:eastAsia="zh-CN"/>
        </w:rPr>
        <w:t>,</w:t>
      </w:r>
      <w:r w:rsidR="00DC21D9">
        <w:rPr>
          <w:lang w:eastAsia="zh-CN"/>
        </w:rPr>
        <w:t xml:space="preserve"> 16 elements have been used</w:t>
      </w:r>
      <w:r w:rsidR="00026455">
        <w:rPr>
          <w:lang w:eastAsia="zh-CN"/>
        </w:rPr>
        <w:t xml:space="preserve"> (there are different assumptions listed</w:t>
      </w:r>
      <w:r w:rsidR="00730030">
        <w:rPr>
          <w:lang w:eastAsia="zh-CN"/>
        </w:rPr>
        <w:t xml:space="preserve"> in TR 38.817-01</w:t>
      </w:r>
      <w:r w:rsidR="00026455">
        <w:rPr>
          <w:lang w:eastAsia="zh-CN"/>
        </w:rPr>
        <w:t>)</w:t>
      </w:r>
      <w:r w:rsidR="00DC21D9">
        <w:rPr>
          <w:lang w:eastAsia="zh-CN"/>
        </w:rPr>
        <w:t>.</w:t>
      </w:r>
    </w:p>
    <w:p w14:paraId="5A833FCC" w14:textId="75E83428" w:rsidR="00DC21D9" w:rsidRDefault="00DC21D9" w:rsidP="00730030">
      <w:pPr>
        <w:pStyle w:val="ListParagraph"/>
        <w:numPr>
          <w:ilvl w:val="0"/>
          <w:numId w:val="38"/>
        </w:numPr>
        <w:rPr>
          <w:lang w:eastAsia="zh-CN"/>
        </w:rPr>
      </w:pPr>
      <w:r>
        <w:rPr>
          <w:lang w:eastAsia="zh-CN"/>
        </w:rPr>
        <w:t xml:space="preserve">Array </w:t>
      </w:r>
      <w:r w:rsidR="00500BA1">
        <w:rPr>
          <w:lang w:eastAsia="zh-CN"/>
        </w:rPr>
        <w:t>gain</w:t>
      </w:r>
      <w:r>
        <w:rPr>
          <w:lang w:eastAsia="zh-CN"/>
        </w:rPr>
        <w:t xml:space="preserve">: </w:t>
      </w:r>
      <w:r w:rsidR="00500BA1">
        <w:rPr>
          <w:lang w:eastAsia="zh-CN"/>
        </w:rPr>
        <w:t>Correction for interaction between n</w:t>
      </w:r>
      <w:r w:rsidR="00A87E22">
        <w:rPr>
          <w:lang w:eastAsia="zh-CN"/>
        </w:rPr>
        <w:t>eighboring antenna</w:t>
      </w:r>
      <w:r w:rsidR="00500BA1">
        <w:rPr>
          <w:lang w:eastAsia="zh-CN"/>
        </w:rPr>
        <w:t>s and extreme cases are included.</w:t>
      </w:r>
    </w:p>
    <w:p w14:paraId="00E655FD" w14:textId="1F7D7F70" w:rsidR="00500BA1" w:rsidRDefault="00500BA1" w:rsidP="00730030">
      <w:pPr>
        <w:pStyle w:val="ListParagraph"/>
        <w:numPr>
          <w:ilvl w:val="0"/>
          <w:numId w:val="38"/>
        </w:numPr>
        <w:rPr>
          <w:lang w:eastAsia="zh-CN"/>
        </w:rPr>
      </w:pPr>
      <w:r>
        <w:rPr>
          <w:lang w:eastAsia="zh-CN"/>
        </w:rPr>
        <w:t>Element gain: Worst case. FWA devices (PC1) and vehicle mounted devices (PC2) could be more optimized.</w:t>
      </w:r>
    </w:p>
    <w:p w14:paraId="1E08AFBB" w14:textId="7D960802" w:rsidR="00DC21D9" w:rsidRDefault="00DC21D9" w:rsidP="00730030">
      <w:pPr>
        <w:pStyle w:val="ListParagraph"/>
        <w:numPr>
          <w:ilvl w:val="0"/>
          <w:numId w:val="38"/>
        </w:numPr>
        <w:rPr>
          <w:lang w:eastAsia="zh-CN"/>
        </w:rPr>
      </w:pPr>
      <w:r>
        <w:rPr>
          <w:lang w:eastAsia="zh-CN"/>
        </w:rPr>
        <w:t xml:space="preserve">Polarization gain: </w:t>
      </w:r>
      <w:r w:rsidR="00500BA1">
        <w:rPr>
          <w:lang w:eastAsia="zh-CN"/>
        </w:rPr>
        <w:t xml:space="preserve">According to the </w:t>
      </w:r>
      <w:r w:rsidR="00AE208A">
        <w:rPr>
          <w:lang w:eastAsia="zh-CN"/>
        </w:rPr>
        <w:t>test</w:t>
      </w:r>
      <w:r w:rsidR="00500BA1">
        <w:rPr>
          <w:lang w:eastAsia="zh-CN"/>
        </w:rPr>
        <w:t xml:space="preserve"> method </w:t>
      </w:r>
      <w:r w:rsidR="00AE208A">
        <w:rPr>
          <w:lang w:eastAsia="zh-CN"/>
        </w:rPr>
        <w:fldChar w:fldCharType="begin"/>
      </w:r>
      <w:r w:rsidR="00AE208A">
        <w:rPr>
          <w:lang w:eastAsia="zh-CN"/>
        </w:rPr>
        <w:instrText xml:space="preserve"> REF _Ref68196497 \r \h </w:instrText>
      </w:r>
      <w:r w:rsidR="00AE208A">
        <w:rPr>
          <w:lang w:eastAsia="zh-CN"/>
        </w:rPr>
      </w:r>
      <w:r w:rsidR="00AE208A">
        <w:rPr>
          <w:lang w:eastAsia="zh-CN"/>
        </w:rPr>
        <w:fldChar w:fldCharType="separate"/>
      </w:r>
      <w:r w:rsidR="00D7519F">
        <w:rPr>
          <w:lang w:eastAsia="zh-CN"/>
        </w:rPr>
        <w:t>[10]</w:t>
      </w:r>
      <w:r w:rsidR="00AE208A">
        <w:rPr>
          <w:lang w:eastAsia="zh-CN"/>
        </w:rPr>
        <w:fldChar w:fldCharType="end"/>
      </w:r>
      <w:r w:rsidR="00AE208A">
        <w:rPr>
          <w:lang w:eastAsia="zh-CN"/>
        </w:rPr>
        <w:t xml:space="preserve"> </w:t>
      </w:r>
      <w:r w:rsidR="00500BA1">
        <w:rPr>
          <w:lang w:eastAsia="zh-CN"/>
        </w:rPr>
        <w:t>this should be zero</w:t>
      </w:r>
      <w:r>
        <w:rPr>
          <w:lang w:eastAsia="zh-CN"/>
        </w:rPr>
        <w:t>.</w:t>
      </w:r>
    </w:p>
    <w:p w14:paraId="111D50D2" w14:textId="77777777" w:rsidR="00500BA1" w:rsidRDefault="00500BA1" w:rsidP="00730030">
      <w:pPr>
        <w:pStyle w:val="ListParagraph"/>
        <w:numPr>
          <w:ilvl w:val="0"/>
          <w:numId w:val="38"/>
        </w:numPr>
        <w:rPr>
          <w:lang w:eastAsia="zh-CN"/>
        </w:rPr>
      </w:pPr>
      <w:r w:rsidRPr="00DC21D9">
        <w:rPr>
          <w:lang w:eastAsia="zh-CN"/>
        </w:rPr>
        <w:t>Antenna roll off loss versus frequency</w:t>
      </w:r>
      <w:r>
        <w:rPr>
          <w:lang w:eastAsia="zh-CN"/>
        </w:rPr>
        <w:t>: n262 (</w:t>
      </w:r>
      <w:r w:rsidRPr="00DC21D9">
        <w:rPr>
          <w:lang w:eastAsia="zh-CN"/>
        </w:rPr>
        <w:t xml:space="preserve">47.2 </w:t>
      </w:r>
      <w:r>
        <w:rPr>
          <w:lang w:eastAsia="zh-CN"/>
        </w:rPr>
        <w:t>-</w:t>
      </w:r>
      <w:r w:rsidRPr="00DC21D9">
        <w:rPr>
          <w:lang w:eastAsia="zh-CN"/>
        </w:rPr>
        <w:t xml:space="preserve"> 48.2</w:t>
      </w:r>
      <w:r>
        <w:rPr>
          <w:lang w:eastAsia="zh-CN"/>
        </w:rPr>
        <w:t xml:space="preserve">GHz) is a quite narrow band compared to other FR2 bands and, therefore, 0.5dB has been used (while, for example, 1dB is used for n258). </w:t>
      </w:r>
    </w:p>
    <w:p w14:paraId="66EA4759" w14:textId="190DD9F5" w:rsidR="00500BA1" w:rsidRDefault="00500BA1" w:rsidP="00500BA1">
      <w:pPr>
        <w:pStyle w:val="ListParagraph"/>
        <w:numPr>
          <w:ilvl w:val="0"/>
          <w:numId w:val="38"/>
        </w:numPr>
        <w:rPr>
          <w:lang w:eastAsia="zh-CN"/>
        </w:rPr>
      </w:pPr>
      <w:r w:rsidRPr="00244AB3">
        <w:rPr>
          <w:lang w:eastAsia="zh-CN"/>
        </w:rPr>
        <w:t>Beam forming loss</w:t>
      </w:r>
      <w:r>
        <w:rPr>
          <w:lang w:eastAsia="zh-CN"/>
        </w:rPr>
        <w:t>: Also includes</w:t>
      </w:r>
      <w:r w:rsidRPr="00244AB3">
        <w:rPr>
          <w:lang w:eastAsia="zh-CN"/>
        </w:rPr>
        <w:t xml:space="preserve"> </w:t>
      </w:r>
      <w:r>
        <w:rPr>
          <w:lang w:eastAsia="zh-CN"/>
        </w:rPr>
        <w:t>“</w:t>
      </w:r>
      <w:r w:rsidRPr="00244AB3">
        <w:rPr>
          <w:lang w:eastAsia="zh-CN"/>
        </w:rPr>
        <w:t>Finite beam table</w:t>
      </w:r>
      <w:r>
        <w:rPr>
          <w:lang w:eastAsia="zh-CN"/>
        </w:rPr>
        <w:t>”</w:t>
      </w:r>
      <w:r w:rsidRPr="00244AB3">
        <w:rPr>
          <w:lang w:eastAsia="zh-CN"/>
        </w:rPr>
        <w:t xml:space="preserve"> </w:t>
      </w:r>
      <w:r>
        <w:rPr>
          <w:lang w:eastAsia="zh-CN"/>
        </w:rPr>
        <w:t>and “</w:t>
      </w:r>
      <w:r w:rsidRPr="00244AB3">
        <w:rPr>
          <w:lang w:eastAsia="zh-CN"/>
        </w:rPr>
        <w:t>one beam table fits all</w:t>
      </w:r>
      <w:r>
        <w:rPr>
          <w:lang w:eastAsia="zh-CN"/>
        </w:rPr>
        <w:t>”. Basically, the same HW is assumed for all device types but for 16 antenna elements in an array there is no impact</w:t>
      </w:r>
      <w:r w:rsidRPr="00244AB3">
        <w:rPr>
          <w:lang w:eastAsia="zh-CN"/>
        </w:rPr>
        <w:t xml:space="preserve"> </w:t>
      </w:r>
      <w:r>
        <w:rPr>
          <w:lang w:eastAsia="zh-CN"/>
        </w:rPr>
        <w:t>on “</w:t>
      </w:r>
      <w:r w:rsidRPr="00244AB3">
        <w:rPr>
          <w:lang w:eastAsia="zh-CN"/>
        </w:rPr>
        <w:t>Finite beam table</w:t>
      </w:r>
      <w:r>
        <w:rPr>
          <w:lang w:eastAsia="zh-CN"/>
        </w:rPr>
        <w:t>”</w:t>
      </w:r>
      <w:r w:rsidRPr="00244AB3">
        <w:rPr>
          <w:lang w:eastAsia="zh-CN"/>
        </w:rPr>
        <w:t xml:space="preserve"> </w:t>
      </w:r>
      <w:r>
        <w:rPr>
          <w:lang w:eastAsia="zh-CN"/>
        </w:rPr>
        <w:t>and “</w:t>
      </w:r>
      <w:r w:rsidRPr="00244AB3">
        <w:rPr>
          <w:lang w:eastAsia="zh-CN"/>
        </w:rPr>
        <w:t>one beam table fits all</w:t>
      </w:r>
      <w:r>
        <w:rPr>
          <w:lang w:eastAsia="zh-CN"/>
        </w:rPr>
        <w:t xml:space="preserve">”. </w:t>
      </w:r>
    </w:p>
    <w:p w14:paraId="3672FDB9" w14:textId="3D15D63F" w:rsidR="00244AB3" w:rsidRDefault="00DC21D9" w:rsidP="00500BA1">
      <w:pPr>
        <w:pStyle w:val="ListParagraph"/>
        <w:numPr>
          <w:ilvl w:val="0"/>
          <w:numId w:val="38"/>
        </w:numPr>
        <w:rPr>
          <w:lang w:eastAsia="zh-CN"/>
        </w:rPr>
      </w:pPr>
      <w:r w:rsidRPr="00DC21D9">
        <w:rPr>
          <w:lang w:eastAsia="zh-CN"/>
        </w:rPr>
        <w:t>Mismatch and transmission line loss including load pull</w:t>
      </w:r>
      <w:r>
        <w:rPr>
          <w:lang w:eastAsia="zh-CN"/>
        </w:rPr>
        <w:t xml:space="preserve">: </w:t>
      </w:r>
      <w:r w:rsidR="009E23A4">
        <w:rPr>
          <w:lang w:eastAsia="zh-CN"/>
        </w:rPr>
        <w:t xml:space="preserve">Regarding </w:t>
      </w:r>
      <w:r>
        <w:rPr>
          <w:lang w:eastAsia="zh-CN"/>
        </w:rPr>
        <w:t xml:space="preserve">FWA </w:t>
      </w:r>
      <w:r w:rsidR="009E23A4">
        <w:rPr>
          <w:lang w:eastAsia="zh-CN"/>
        </w:rPr>
        <w:t xml:space="preserve">devices, focus is on the transmitter path (refer to </w:t>
      </w:r>
      <w:r w:rsidR="009E23A4">
        <w:rPr>
          <w:lang w:eastAsia="zh-CN"/>
        </w:rPr>
        <w:fldChar w:fldCharType="begin"/>
      </w:r>
      <w:r w:rsidR="009E23A4">
        <w:rPr>
          <w:lang w:eastAsia="zh-CN"/>
        </w:rPr>
        <w:instrText xml:space="preserve"> REF _Ref61436654 \r \h </w:instrText>
      </w:r>
      <w:r w:rsidR="009E23A4">
        <w:rPr>
          <w:lang w:eastAsia="zh-CN"/>
        </w:rPr>
      </w:r>
      <w:r w:rsidR="009E23A4">
        <w:rPr>
          <w:lang w:eastAsia="zh-CN"/>
        </w:rPr>
        <w:fldChar w:fldCharType="separate"/>
      </w:r>
      <w:r w:rsidR="00D7519F">
        <w:rPr>
          <w:lang w:eastAsia="zh-CN"/>
        </w:rPr>
        <w:t>[7]</w:t>
      </w:r>
      <w:r w:rsidR="009E23A4">
        <w:rPr>
          <w:lang w:eastAsia="zh-CN"/>
        </w:rPr>
        <w:fldChar w:fldCharType="end"/>
      </w:r>
      <w:r w:rsidR="009E23A4">
        <w:rPr>
          <w:lang w:eastAsia="zh-CN"/>
        </w:rPr>
        <w:t>) explaining the difference between RX and TX paths for FWA devices.</w:t>
      </w:r>
    </w:p>
    <w:p w14:paraId="248B2207" w14:textId="74E62AF1" w:rsidR="00244AB3" w:rsidRDefault="00244AB3" w:rsidP="00730030">
      <w:pPr>
        <w:pStyle w:val="ListParagraph"/>
        <w:numPr>
          <w:ilvl w:val="0"/>
          <w:numId w:val="38"/>
        </w:numPr>
        <w:spacing w:after="120"/>
        <w:rPr>
          <w:lang w:eastAsia="zh-CN"/>
        </w:rPr>
      </w:pPr>
      <w:r w:rsidRPr="00244AB3">
        <w:rPr>
          <w:lang w:eastAsia="zh-CN"/>
        </w:rPr>
        <w:t>Form factor integration losses (incl. radome losses)</w:t>
      </w:r>
      <w:r>
        <w:rPr>
          <w:lang w:eastAsia="zh-CN"/>
        </w:rPr>
        <w:t xml:space="preserve">: The FWA device </w:t>
      </w:r>
      <w:r w:rsidR="00730030">
        <w:rPr>
          <w:lang w:eastAsia="zh-CN"/>
        </w:rPr>
        <w:t xml:space="preserve">(PC1) </w:t>
      </w:r>
      <w:r>
        <w:rPr>
          <w:lang w:eastAsia="zh-CN"/>
        </w:rPr>
        <w:t>could be more optimized</w:t>
      </w:r>
      <w:r w:rsidR="00A217B9">
        <w:rPr>
          <w:lang w:eastAsia="zh-CN"/>
        </w:rPr>
        <w:t xml:space="preserve"> but still has some radome loss.</w:t>
      </w:r>
    </w:p>
    <w:p w14:paraId="0DD538BB" w14:textId="0319EB39" w:rsidR="00D96130" w:rsidRDefault="00D96130" w:rsidP="00730030">
      <w:pPr>
        <w:spacing w:after="120"/>
        <w:rPr>
          <w:lang w:eastAsia="zh-CN"/>
        </w:rPr>
      </w:pPr>
      <w:r>
        <w:rPr>
          <w:lang w:eastAsia="zh-CN"/>
        </w:rPr>
        <w:lastRenderedPageBreak/>
        <w:t xml:space="preserve">Concerning multi band devices, FWA devices (PC1) and vehicle mounted equipment (PC2) are assumed to have less volume constraints and thus, antenna design could be carried out with </w:t>
      </w:r>
      <w:r w:rsidR="00566B94">
        <w:rPr>
          <w:lang w:eastAsia="zh-CN"/>
        </w:rPr>
        <w:t xml:space="preserve">less </w:t>
      </w:r>
      <w:r>
        <w:rPr>
          <w:lang w:eastAsia="zh-CN"/>
        </w:rPr>
        <w:t xml:space="preserve">need for relaxation. Consequently, Multi Band Relaxation (MBR) will </w:t>
      </w:r>
      <w:r w:rsidR="00566B94">
        <w:rPr>
          <w:lang w:eastAsia="zh-CN"/>
        </w:rPr>
        <w:t>be significantly less (if any)</w:t>
      </w:r>
      <w:r>
        <w:rPr>
          <w:lang w:eastAsia="zh-CN"/>
        </w:rPr>
        <w:t xml:space="preserve"> for PC1 and PC2</w:t>
      </w:r>
      <w:r w:rsidR="00566B94">
        <w:rPr>
          <w:lang w:eastAsia="zh-CN"/>
        </w:rPr>
        <w:t xml:space="preserve"> compared to PC3</w:t>
      </w:r>
      <w:r>
        <w:rPr>
          <w:lang w:eastAsia="zh-CN"/>
        </w:rPr>
        <w:t xml:space="preserve">. For </w:t>
      </w:r>
      <w:r w:rsidRPr="00C04A08">
        <w:rPr>
          <w:lang w:eastAsia="zh-CN"/>
        </w:rPr>
        <w:t>High power non-handheld UE</w:t>
      </w:r>
      <w:r>
        <w:rPr>
          <w:lang w:eastAsia="zh-CN"/>
        </w:rPr>
        <w:t xml:space="preserve"> (PC4), MBR </w:t>
      </w:r>
      <w:r w:rsidR="009E16AB">
        <w:rPr>
          <w:lang w:eastAsia="zh-CN"/>
        </w:rPr>
        <w:t>sh</w:t>
      </w:r>
      <w:r>
        <w:rPr>
          <w:lang w:eastAsia="zh-CN"/>
        </w:rPr>
        <w:t xml:space="preserve">ould be considered </w:t>
      </w:r>
      <w:r w:rsidR="00D7519F">
        <w:rPr>
          <w:lang w:eastAsia="zh-CN"/>
        </w:rPr>
        <w:t>but should not be higher than for PC3.</w:t>
      </w:r>
      <w:r>
        <w:rPr>
          <w:lang w:eastAsia="zh-CN"/>
        </w:rPr>
        <w:t xml:space="preserve"> </w:t>
      </w:r>
      <w:r w:rsidR="00D7519F">
        <w:rPr>
          <w:lang w:eastAsia="zh-CN"/>
        </w:rPr>
        <w:t>MBR will</w:t>
      </w:r>
      <w:r>
        <w:rPr>
          <w:lang w:eastAsia="zh-CN"/>
        </w:rPr>
        <w:t xml:space="preserve"> take care of </w:t>
      </w:r>
      <w:proofErr w:type="gramStart"/>
      <w:r>
        <w:rPr>
          <w:lang w:eastAsia="zh-CN"/>
        </w:rPr>
        <w:t>dual(</w:t>
      </w:r>
      <w:proofErr w:type="gramEnd"/>
      <w:r>
        <w:rPr>
          <w:lang w:eastAsia="zh-CN"/>
        </w:rPr>
        <w:t>or more)-band designs.</w:t>
      </w:r>
    </w:p>
    <w:p w14:paraId="4DF01151" w14:textId="5E135C8B" w:rsidR="00D96130" w:rsidRPr="00D96130" w:rsidRDefault="003D16B2" w:rsidP="003D16B2">
      <w:pPr>
        <w:pStyle w:val="Caption"/>
        <w:spacing w:after="120"/>
        <w:ind w:left="1418" w:hanging="1418"/>
        <w:rPr>
          <w:lang w:eastAsia="zh-CN"/>
        </w:rPr>
      </w:pPr>
      <w:bookmarkStart w:id="5" w:name="_Ref68109110"/>
      <w:bookmarkStart w:id="6" w:name="_Hlk68264984"/>
      <w:r>
        <w:t xml:space="preserve">Observation </w:t>
      </w:r>
      <w:r>
        <w:fldChar w:fldCharType="begin"/>
      </w:r>
      <w:r>
        <w:instrText xml:space="preserve"> SEQ Observation \* ARABIC </w:instrText>
      </w:r>
      <w:r>
        <w:fldChar w:fldCharType="separate"/>
      </w:r>
      <w:r w:rsidR="00D7519F">
        <w:rPr>
          <w:noProof/>
        </w:rPr>
        <w:t>1</w:t>
      </w:r>
      <w:r>
        <w:fldChar w:fldCharType="end"/>
      </w:r>
      <w:r>
        <w:tab/>
      </w:r>
      <w:r>
        <w:rPr>
          <w:lang w:eastAsia="zh-CN"/>
        </w:rPr>
        <w:t xml:space="preserve">FWA devices (PC1) and vehicle mounted equipment (PC2) are assumed to have less volume constraints and thus, Multi Band Relaxation (MBR) </w:t>
      </w:r>
      <w:r w:rsidR="009E16AB">
        <w:rPr>
          <w:lang w:eastAsia="zh-CN"/>
        </w:rPr>
        <w:t>should be significantly less than for PC3</w:t>
      </w:r>
      <w:r>
        <w:rPr>
          <w:lang w:eastAsia="zh-CN"/>
        </w:rPr>
        <w:t>.</w:t>
      </w:r>
      <w:bookmarkEnd w:id="5"/>
    </w:p>
    <w:p w14:paraId="6FEDED3E" w14:textId="3FE7C2C4" w:rsidR="0017272A" w:rsidRPr="0017272A" w:rsidRDefault="0017272A" w:rsidP="00444D16">
      <w:pPr>
        <w:pStyle w:val="Caption"/>
        <w:spacing w:after="120"/>
        <w:ind w:left="1418" w:hanging="1418"/>
        <w:rPr>
          <w:lang w:eastAsia="zh-CN"/>
        </w:rPr>
      </w:pPr>
      <w:bookmarkStart w:id="7" w:name="_Ref68109131"/>
      <w:r>
        <w:t xml:space="preserve">Observation </w:t>
      </w:r>
      <w:r>
        <w:fldChar w:fldCharType="begin"/>
      </w:r>
      <w:r>
        <w:instrText xml:space="preserve"> SEQ Observation \* ARABIC </w:instrText>
      </w:r>
      <w:r>
        <w:fldChar w:fldCharType="separate"/>
      </w:r>
      <w:r w:rsidR="00D7519F">
        <w:rPr>
          <w:noProof/>
        </w:rPr>
        <w:t>2</w:t>
      </w:r>
      <w:r>
        <w:fldChar w:fldCharType="end"/>
      </w:r>
      <w:r>
        <w:tab/>
      </w:r>
      <w:r w:rsidR="000F785B">
        <w:rPr>
          <w:lang w:eastAsia="zh-CN"/>
        </w:rPr>
        <w:t>For h</w:t>
      </w:r>
      <w:r w:rsidRPr="00C04A08">
        <w:rPr>
          <w:lang w:eastAsia="zh-CN"/>
        </w:rPr>
        <w:t>igh power non-handheld UE</w:t>
      </w:r>
      <w:r>
        <w:rPr>
          <w:lang w:eastAsia="zh-CN"/>
        </w:rPr>
        <w:t xml:space="preserve"> (PC4), MBR </w:t>
      </w:r>
      <w:r w:rsidR="009E16AB">
        <w:rPr>
          <w:lang w:eastAsia="zh-CN"/>
        </w:rPr>
        <w:t>sh</w:t>
      </w:r>
      <w:r>
        <w:rPr>
          <w:lang w:eastAsia="zh-CN"/>
        </w:rPr>
        <w:t xml:space="preserve">ould </w:t>
      </w:r>
      <w:r w:rsidR="00D7519F">
        <w:rPr>
          <w:lang w:eastAsia="zh-CN"/>
        </w:rPr>
        <w:t xml:space="preserve">not </w:t>
      </w:r>
      <w:r>
        <w:rPr>
          <w:lang w:eastAsia="zh-CN"/>
        </w:rPr>
        <w:t xml:space="preserve">be </w:t>
      </w:r>
      <w:r w:rsidR="00D7519F">
        <w:rPr>
          <w:lang w:eastAsia="zh-CN"/>
        </w:rPr>
        <w:t>more than for PC3</w:t>
      </w:r>
      <w:r>
        <w:rPr>
          <w:lang w:eastAsia="zh-CN"/>
        </w:rPr>
        <w:t>.</w:t>
      </w:r>
      <w:bookmarkEnd w:id="7"/>
    </w:p>
    <w:p w14:paraId="4B7C2B84" w14:textId="41773B7D" w:rsidR="00216C8F" w:rsidRPr="00216C8F" w:rsidRDefault="0075425A" w:rsidP="00216C8F">
      <w:pPr>
        <w:pStyle w:val="Heading2"/>
        <w:rPr>
          <w:lang w:eastAsia="zh-CN"/>
        </w:rPr>
      </w:pPr>
      <w:bookmarkStart w:id="8" w:name="_Hlk61523158"/>
      <w:bookmarkEnd w:id="6"/>
      <w:r>
        <w:rPr>
          <w:lang w:eastAsia="zh-CN"/>
        </w:rPr>
        <w:t>Spherical coverage</w:t>
      </w:r>
      <w:bookmarkEnd w:id="8"/>
      <w:r w:rsidR="00185E00">
        <w:rPr>
          <w:lang w:eastAsia="zh-CN"/>
        </w:rPr>
        <w:t xml:space="preserve"> PC3</w:t>
      </w:r>
    </w:p>
    <w:p w14:paraId="160A0F55" w14:textId="33314AC6" w:rsidR="00162CA9" w:rsidRPr="008B524B" w:rsidRDefault="00162CA9" w:rsidP="00162CA9">
      <w:pPr>
        <w:pStyle w:val="BodyText"/>
        <w:jc w:val="both"/>
        <w:rPr>
          <w:lang w:val="en-GB"/>
        </w:rPr>
      </w:pPr>
      <w:r>
        <w:t>The spherical coverage of a</w:t>
      </w:r>
      <w:r>
        <w:rPr>
          <w:lang w:val="en-GB"/>
        </w:rPr>
        <w:t>n</w:t>
      </w:r>
      <w:r>
        <w:t xml:space="preserve"> antenna in </w:t>
      </w:r>
      <w:r w:rsidR="00992E7B">
        <w:t>this</w:t>
      </w:r>
      <w:r>
        <w:t xml:space="preserve"> frequency </w:t>
      </w:r>
      <w:r w:rsidR="00992E7B">
        <w:t xml:space="preserve">range </w:t>
      </w:r>
      <w:r>
        <w:t>depends on many factors, includ</w:t>
      </w:r>
      <w:r w:rsidR="00992E7B">
        <w:t>ing, but</w:t>
      </w:r>
      <w:r>
        <w:t xml:space="preserve"> not limited to</w:t>
      </w:r>
      <w:r w:rsidR="00992E7B">
        <w:t>,</w:t>
      </w:r>
      <w:r>
        <w:t xml:space="preserve"> the surface current distribution, the material of the </w:t>
      </w:r>
      <w:r w:rsidR="00844D44">
        <w:t>radome or antenna</w:t>
      </w:r>
      <w:r>
        <w:t xml:space="preserve"> cover and </w:t>
      </w:r>
      <w:r w:rsidR="007F7058">
        <w:t xml:space="preserve">the </w:t>
      </w:r>
      <w:r>
        <w:t xml:space="preserve">separation distance </w:t>
      </w:r>
      <w:r w:rsidR="00AF2EBD">
        <w:t xml:space="preserve">between </w:t>
      </w:r>
      <w:r w:rsidR="007F7058">
        <w:t xml:space="preserve">the </w:t>
      </w:r>
      <w:r w:rsidR="00AF2EBD">
        <w:t>cover and</w:t>
      </w:r>
      <w:r>
        <w:t xml:space="preserve"> the antennas, other component</w:t>
      </w:r>
      <w:r w:rsidR="0068065C">
        <w:t>s</w:t>
      </w:r>
      <w:r>
        <w:t xml:space="preserve"> around the antenna panel etc. </w:t>
      </w:r>
      <w:r w:rsidR="005342AD">
        <w:t>D</w:t>
      </w:r>
      <w:r w:rsidR="00992E7B">
        <w:t xml:space="preserve">iscussion of spherical coverage </w:t>
      </w:r>
      <w:r w:rsidR="005342AD">
        <w:t xml:space="preserve">in RAN4 for the previously defined FR2 frequency bands has in almost all cases concerned PC3. </w:t>
      </w:r>
      <w:r w:rsidR="00B70F0D">
        <w:t>I</w:t>
      </w:r>
      <w:r w:rsidR="005342AD">
        <w:t>n</w:t>
      </w:r>
      <w:r w:rsidR="005342AD">
        <w:rPr>
          <w:lang w:val="en-GB"/>
        </w:rPr>
        <w:t xml:space="preserve"> e.g. </w:t>
      </w:r>
      <w:r w:rsidR="005342AD">
        <w:rPr>
          <w:lang w:val="en-GB"/>
        </w:rPr>
        <w:fldChar w:fldCharType="begin"/>
      </w:r>
      <w:r w:rsidR="005342AD">
        <w:rPr>
          <w:lang w:val="en-GB"/>
        </w:rPr>
        <w:instrText xml:space="preserve"> REF _Ref20153914 \r \h </w:instrText>
      </w:r>
      <w:r w:rsidR="005342AD">
        <w:rPr>
          <w:lang w:val="en-GB"/>
        </w:rPr>
      </w:r>
      <w:r w:rsidR="005342AD">
        <w:rPr>
          <w:lang w:val="en-GB"/>
        </w:rPr>
        <w:fldChar w:fldCharType="separate"/>
      </w:r>
      <w:r w:rsidR="00D7519F">
        <w:rPr>
          <w:lang w:val="en-GB"/>
        </w:rPr>
        <w:t>[10]</w:t>
      </w:r>
      <w:r w:rsidR="005342AD">
        <w:rPr>
          <w:lang w:val="en-GB"/>
        </w:rPr>
        <w:fldChar w:fldCharType="end"/>
      </w:r>
      <w:r w:rsidR="005342AD">
        <w:rPr>
          <w:lang w:val="en-GB"/>
        </w:rPr>
        <w:t xml:space="preserve"> </w:t>
      </w:r>
      <w:r w:rsidR="0067507C">
        <w:t>it was</w:t>
      </w:r>
      <w:r>
        <w:t xml:space="preserve"> observed that impact from all the factors </w:t>
      </w:r>
      <w:r w:rsidR="00A13482">
        <w:rPr>
          <w:lang w:eastAsia="zh-CN"/>
        </w:rPr>
        <w:t>does</w:t>
      </w:r>
      <w:r w:rsidR="00A13482">
        <w:rPr>
          <w:lang w:val="en-GB"/>
        </w:rPr>
        <w:t xml:space="preserve"> </w:t>
      </w:r>
      <w:r>
        <w:t xml:space="preserve">not </w:t>
      </w:r>
      <w:r w:rsidR="0067507C" w:rsidRPr="008B2459">
        <w:t>monotonous</w:t>
      </w:r>
      <w:r w:rsidR="0067507C">
        <w:t>ly</w:t>
      </w:r>
      <w:r w:rsidR="0067507C">
        <w:rPr>
          <w:lang w:val="en-GB"/>
        </w:rPr>
        <w:t xml:space="preserve"> </w:t>
      </w:r>
      <w:r>
        <w:rPr>
          <w:lang w:val="en-GB"/>
        </w:rPr>
        <w:t xml:space="preserve">change with frequency but rather changes </w:t>
      </w:r>
      <w:r w:rsidR="00D46F9C">
        <w:rPr>
          <w:lang w:val="en-GB"/>
        </w:rPr>
        <w:t>periodically</w:t>
      </w:r>
      <w:r w:rsidR="005342AD">
        <w:rPr>
          <w:lang w:val="en-GB"/>
        </w:rPr>
        <w:t>.</w:t>
      </w:r>
      <w:r w:rsidR="00D46F9C">
        <w:rPr>
          <w:lang w:val="en-GB"/>
        </w:rPr>
        <w:t xml:space="preserve"> </w:t>
      </w:r>
      <w:r>
        <w:rPr>
          <w:lang w:val="en-GB"/>
        </w:rPr>
        <w:t xml:space="preserve">Therefore, it </w:t>
      </w:r>
      <w:r w:rsidR="0045591E">
        <w:rPr>
          <w:lang w:val="en-GB"/>
        </w:rPr>
        <w:t>cannot</w:t>
      </w:r>
      <w:r>
        <w:rPr>
          <w:lang w:val="en-GB"/>
        </w:rPr>
        <w:t xml:space="preserve"> be concluded that the n2</w:t>
      </w:r>
      <w:r w:rsidR="0067507C">
        <w:rPr>
          <w:lang w:val="en-GB"/>
        </w:rPr>
        <w:t>62</w:t>
      </w:r>
      <w:r>
        <w:rPr>
          <w:lang w:val="en-GB"/>
        </w:rPr>
        <w:t xml:space="preserve"> band must</w:t>
      </w:r>
      <w:r w:rsidR="005342AD">
        <w:rPr>
          <w:lang w:val="en-GB"/>
        </w:rPr>
        <w:t xml:space="preserve"> </w:t>
      </w:r>
      <w:r>
        <w:rPr>
          <w:lang w:val="en-GB"/>
        </w:rPr>
        <w:t xml:space="preserve">be </w:t>
      </w:r>
      <w:r w:rsidR="005342AD">
        <w:rPr>
          <w:lang w:val="en-GB"/>
        </w:rPr>
        <w:t xml:space="preserve">significantly </w:t>
      </w:r>
      <w:r>
        <w:rPr>
          <w:lang w:val="en-GB"/>
        </w:rPr>
        <w:t xml:space="preserve">worse than </w:t>
      </w:r>
      <w:r w:rsidR="0067507C">
        <w:rPr>
          <w:lang w:val="en-GB"/>
        </w:rPr>
        <w:t>e.g.</w:t>
      </w:r>
      <w:r w:rsidR="00494E77">
        <w:rPr>
          <w:lang w:val="en-GB"/>
        </w:rPr>
        <w:t>,</w:t>
      </w:r>
      <w:r w:rsidR="0067507C">
        <w:rPr>
          <w:lang w:val="en-GB"/>
        </w:rPr>
        <w:t xml:space="preserve"> </w:t>
      </w:r>
      <w:r>
        <w:rPr>
          <w:lang w:val="en-GB"/>
        </w:rPr>
        <w:t>n2</w:t>
      </w:r>
      <w:r w:rsidR="005342AD">
        <w:rPr>
          <w:lang w:val="en-GB"/>
        </w:rPr>
        <w:t>60</w:t>
      </w:r>
      <w:r>
        <w:rPr>
          <w:lang w:val="en-GB"/>
        </w:rPr>
        <w:t xml:space="preserve"> band in terms of spherical coverage. </w:t>
      </w:r>
      <w:r w:rsidR="0067507C">
        <w:rPr>
          <w:lang w:val="en-GB"/>
        </w:rPr>
        <w:t xml:space="preserve">The total impact (peak and spherical coverage) of </w:t>
      </w:r>
      <w:r w:rsidR="00494E77">
        <w:rPr>
          <w:lang w:val="en-GB"/>
        </w:rPr>
        <w:t xml:space="preserve">the </w:t>
      </w:r>
      <w:r w:rsidR="00844D44">
        <w:rPr>
          <w:lang w:val="en-GB"/>
        </w:rPr>
        <w:t xml:space="preserve">antenna </w:t>
      </w:r>
      <w:r w:rsidR="0067507C">
        <w:rPr>
          <w:lang w:val="en-GB"/>
        </w:rPr>
        <w:t>cover and components around the antenna panel</w:t>
      </w:r>
      <w:r w:rsidR="00494E77">
        <w:rPr>
          <w:lang w:val="en-GB"/>
        </w:rPr>
        <w:t>,</w:t>
      </w:r>
      <w:r w:rsidR="0067507C">
        <w:rPr>
          <w:lang w:val="en-GB"/>
        </w:rPr>
        <w:t xml:space="preserve"> on the other hand</w:t>
      </w:r>
      <w:r w:rsidR="00494E77">
        <w:rPr>
          <w:lang w:val="en-GB"/>
        </w:rPr>
        <w:t>,</w:t>
      </w:r>
      <w:r w:rsidR="0067507C">
        <w:rPr>
          <w:lang w:val="en-GB"/>
        </w:rPr>
        <w:t xml:space="preserve"> will increase with frequency.</w:t>
      </w:r>
    </w:p>
    <w:p w14:paraId="00CA82C7" w14:textId="4B3D30DD" w:rsidR="005342AD" w:rsidRDefault="005342AD" w:rsidP="00D1752B">
      <w:pPr>
        <w:pStyle w:val="Caption"/>
        <w:spacing w:after="120"/>
        <w:ind w:left="1418" w:hanging="1418"/>
      </w:pPr>
      <w:bookmarkStart w:id="9" w:name="_Ref21108741"/>
      <w:r w:rsidRPr="005342AD">
        <w:t xml:space="preserve">Observation </w:t>
      </w:r>
      <w:r w:rsidRPr="005342AD">
        <w:fldChar w:fldCharType="begin"/>
      </w:r>
      <w:r w:rsidRPr="005342AD">
        <w:instrText xml:space="preserve"> SEQ Observation \* ARABIC </w:instrText>
      </w:r>
      <w:r w:rsidRPr="005342AD">
        <w:fldChar w:fldCharType="separate"/>
      </w:r>
      <w:r w:rsidR="00D7519F">
        <w:rPr>
          <w:noProof/>
        </w:rPr>
        <w:t>3</w:t>
      </w:r>
      <w:r w:rsidRPr="005342AD">
        <w:fldChar w:fldCharType="end"/>
      </w:r>
      <w:r w:rsidR="00162CA9" w:rsidRPr="005342AD">
        <w:tab/>
        <w:t xml:space="preserve">The spherical coverage performance </w:t>
      </w:r>
      <w:r w:rsidR="00AC041F" w:rsidRPr="005342AD">
        <w:t xml:space="preserve">(delta between peak and </w:t>
      </w:r>
      <w:r w:rsidR="00820FD8">
        <w:t xml:space="preserve">specified </w:t>
      </w:r>
      <w:r w:rsidR="003B3565" w:rsidRPr="005342AD">
        <w:t>percent</w:t>
      </w:r>
      <w:r w:rsidR="00D1752B">
        <w:t>ile</w:t>
      </w:r>
      <w:r w:rsidR="003B3565" w:rsidRPr="005342AD">
        <w:t xml:space="preserve"> of</w:t>
      </w:r>
      <w:r w:rsidR="00AC041F" w:rsidRPr="005342AD">
        <w:t xml:space="preserve"> EIRP) </w:t>
      </w:r>
      <w:r w:rsidR="007A17F0" w:rsidRPr="005342AD">
        <w:t>depends on many factors</w:t>
      </w:r>
      <w:r w:rsidR="001D5E98" w:rsidRPr="005342AD">
        <w:t>,</w:t>
      </w:r>
      <w:r w:rsidR="007A17F0" w:rsidRPr="005342AD">
        <w:t xml:space="preserve"> and </w:t>
      </w:r>
      <w:r w:rsidR="007A17F0" w:rsidRPr="005342AD">
        <w:rPr>
          <w:lang w:val="en-GB"/>
        </w:rPr>
        <w:t>it cannot be concluded that the n262 band must be worse than</w:t>
      </w:r>
      <w:r w:rsidR="001D5E98" w:rsidRPr="005342AD">
        <w:rPr>
          <w:lang w:val="en-GB"/>
        </w:rPr>
        <w:t>,</w:t>
      </w:r>
      <w:r w:rsidR="007A17F0" w:rsidRPr="005342AD">
        <w:rPr>
          <w:lang w:val="en-GB"/>
        </w:rPr>
        <w:t xml:space="preserve"> e.g.</w:t>
      </w:r>
      <w:r w:rsidR="001D5E98" w:rsidRPr="005342AD">
        <w:rPr>
          <w:lang w:val="en-GB"/>
        </w:rPr>
        <w:t>,</w:t>
      </w:r>
      <w:r w:rsidR="007A17F0" w:rsidRPr="005342AD">
        <w:rPr>
          <w:lang w:val="en-GB"/>
        </w:rPr>
        <w:t xml:space="preserve"> n2</w:t>
      </w:r>
      <w:r w:rsidR="003B3565" w:rsidRPr="005342AD">
        <w:rPr>
          <w:lang w:val="en-GB"/>
        </w:rPr>
        <w:t>60</w:t>
      </w:r>
      <w:r w:rsidR="007A17F0" w:rsidRPr="005342AD">
        <w:rPr>
          <w:lang w:val="en-GB"/>
        </w:rPr>
        <w:t xml:space="preserve"> in terms of spherical coverage</w:t>
      </w:r>
      <w:r w:rsidR="00162CA9" w:rsidRPr="005342AD">
        <w:t>.</w:t>
      </w:r>
      <w:bookmarkEnd w:id="9"/>
    </w:p>
    <w:p w14:paraId="51373AFD" w14:textId="56779C50" w:rsidR="00820FD8" w:rsidRDefault="00820FD8" w:rsidP="001760DD">
      <w:pPr>
        <w:pStyle w:val="BodyText"/>
      </w:pPr>
      <w:r>
        <w:t xml:space="preserve">For FWA devices (PC1) and vehicle mounted devices (PC2) it is assumed that the design could be optimized for good performance in terms of proximity to other components or distance to cover material. Therefore, the gain drop </w:t>
      </w:r>
      <w:r w:rsidRPr="00820FD8">
        <w:t xml:space="preserve">(delta between peak and </w:t>
      </w:r>
      <w:r>
        <w:t xml:space="preserve">specified </w:t>
      </w:r>
      <w:r w:rsidRPr="00820FD8">
        <w:t>percent</w:t>
      </w:r>
      <w:r w:rsidR="00D1752B">
        <w:t>ile</w:t>
      </w:r>
      <w:r w:rsidRPr="00820FD8">
        <w:t xml:space="preserve"> of EIRP)</w:t>
      </w:r>
      <w:r>
        <w:t xml:space="preserve"> </w:t>
      </w:r>
      <w:r w:rsidR="008F32C8">
        <w:t xml:space="preserve">for band n262 </w:t>
      </w:r>
      <w:r>
        <w:t xml:space="preserve">could be no worse than 0.5dB (PC1) to 1dB (PC2) </w:t>
      </w:r>
      <w:r w:rsidR="008F32C8">
        <w:t>compared to band n258.</w:t>
      </w:r>
    </w:p>
    <w:p w14:paraId="45B499D4" w14:textId="04F3EBB9" w:rsidR="00D1752B" w:rsidRDefault="00D1752B" w:rsidP="00D1752B">
      <w:pPr>
        <w:pStyle w:val="Caption"/>
        <w:spacing w:after="120"/>
        <w:ind w:left="1418" w:hanging="1418"/>
      </w:pPr>
      <w:bookmarkStart w:id="10" w:name="_Ref68111088"/>
      <w:r>
        <w:t xml:space="preserve">Observation </w:t>
      </w:r>
      <w:r>
        <w:fldChar w:fldCharType="begin"/>
      </w:r>
      <w:r>
        <w:instrText xml:space="preserve"> SEQ Observation \* ARABIC </w:instrText>
      </w:r>
      <w:r>
        <w:fldChar w:fldCharType="separate"/>
      </w:r>
      <w:r w:rsidR="00D7519F">
        <w:rPr>
          <w:noProof/>
        </w:rPr>
        <w:t>4</w:t>
      </w:r>
      <w:r>
        <w:fldChar w:fldCharType="end"/>
      </w:r>
      <w:r>
        <w:tab/>
        <w:t xml:space="preserve">The gain drop </w:t>
      </w:r>
      <w:r w:rsidRPr="00820FD8">
        <w:t xml:space="preserve">(delta between peak and </w:t>
      </w:r>
      <w:r>
        <w:t xml:space="preserve">specified </w:t>
      </w:r>
      <w:r w:rsidRPr="00820FD8">
        <w:t>percent</w:t>
      </w:r>
      <w:r>
        <w:t>ile</w:t>
      </w:r>
      <w:r w:rsidRPr="00820FD8">
        <w:t xml:space="preserve"> of EIRP)</w:t>
      </w:r>
      <w:r>
        <w:t xml:space="preserve"> for band n262 could be no worse than 0.5dB (PC1) to 1dB (PC2) compared to band n258.</w:t>
      </w:r>
      <w:bookmarkEnd w:id="10"/>
    </w:p>
    <w:p w14:paraId="4B6CBC3D" w14:textId="405AB02F" w:rsidR="008F32C8" w:rsidRDefault="008F32C8" w:rsidP="001760DD">
      <w:pPr>
        <w:pStyle w:val="BodyText"/>
      </w:pPr>
      <w:r w:rsidRPr="00C04A08">
        <w:t>High power non-handheld UE</w:t>
      </w:r>
      <w:r>
        <w:t xml:space="preserve">s (PC4), on the other hand, comprise a large variety of devises such as e.g., laptops, professional cameras or factory automation (just to mention some). Design constraints could not be ruled out in this UE group. Besides, for PC4 the </w:t>
      </w:r>
      <w:r w:rsidR="00D1752B">
        <w:t>specified percentile of EIRP is 20% which is more stringent than for other power classes.</w:t>
      </w:r>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1BFC8B9" w14:textId="7FC4104A" w:rsidR="00146D4C" w:rsidRDefault="00E06DE7" w:rsidP="009215DA">
      <w:pPr>
        <w:pStyle w:val="BodyText"/>
      </w:pPr>
      <w:r w:rsidRPr="00D43AD7">
        <w:t xml:space="preserve">In this contribution we have discussed </w:t>
      </w:r>
      <w:r w:rsidR="00B70F0D" w:rsidRPr="00B70F0D">
        <w:t>REFSENS and EIS spherical coverage for PC1, PC2, PC4</w:t>
      </w:r>
      <w:r w:rsidR="00721108">
        <w:t xml:space="preserve"> for band</w:t>
      </w:r>
      <w:r w:rsidR="00C42FFA">
        <w:t xml:space="preserve"> n2</w:t>
      </w:r>
      <w:r w:rsidR="003D636D">
        <w:t>62</w:t>
      </w:r>
      <w:r w:rsidR="0088688C">
        <w:t>. The following observation</w:t>
      </w:r>
      <w:r w:rsidR="00102834">
        <w:t xml:space="preserve">s </w:t>
      </w:r>
      <w:r w:rsidR="0088688C">
        <w:t xml:space="preserve">and proposal </w:t>
      </w:r>
      <w:r w:rsidR="00102834">
        <w:t>are made</w:t>
      </w:r>
      <w:r w:rsidR="0088688C">
        <w:t>:</w:t>
      </w:r>
    </w:p>
    <w:p w14:paraId="03D77D06" w14:textId="410E9BC7" w:rsidR="0088688C" w:rsidRPr="00673A0C" w:rsidRDefault="005342AD" w:rsidP="00102834">
      <w:pPr>
        <w:pStyle w:val="BodyText"/>
        <w:ind w:left="1418" w:hanging="1418"/>
        <w:rPr>
          <w:b/>
          <w:bCs/>
        </w:rPr>
      </w:pPr>
      <w:r w:rsidRPr="00673A0C">
        <w:rPr>
          <w:b/>
          <w:bCs/>
        </w:rPr>
        <w:fldChar w:fldCharType="begin"/>
      </w:r>
      <w:r w:rsidRPr="00673A0C">
        <w:rPr>
          <w:b/>
          <w:bCs/>
        </w:rPr>
        <w:instrText xml:space="preserve"> REF _Ref68109110 \h  \* MERGEFORMAT </w:instrText>
      </w:r>
      <w:r w:rsidRPr="00673A0C">
        <w:rPr>
          <w:b/>
          <w:bCs/>
        </w:rPr>
      </w:r>
      <w:r w:rsidRPr="00673A0C">
        <w:rPr>
          <w:b/>
          <w:bCs/>
        </w:rPr>
        <w:fldChar w:fldCharType="separate"/>
      </w:r>
      <w:r w:rsidR="00D7519F" w:rsidRPr="00D7519F">
        <w:rPr>
          <w:b/>
          <w:bCs/>
        </w:rPr>
        <w:t xml:space="preserve">Observation </w:t>
      </w:r>
      <w:r w:rsidR="00D7519F" w:rsidRPr="00D7519F">
        <w:rPr>
          <w:b/>
          <w:bCs/>
          <w:noProof/>
        </w:rPr>
        <w:t>1</w:t>
      </w:r>
      <w:r w:rsidR="00D7519F" w:rsidRPr="00D7519F">
        <w:rPr>
          <w:b/>
          <w:bCs/>
        </w:rPr>
        <w:tab/>
      </w:r>
      <w:r w:rsidR="00D7519F" w:rsidRPr="00D7519F">
        <w:rPr>
          <w:b/>
          <w:bCs/>
          <w:lang w:eastAsia="zh-CN"/>
        </w:rPr>
        <w:t>FWA devices (PC1) and vehicle mounted equipment (PC2) are assumed to have less volume constraints and thus, Multi Band Relaxation (MBR) should be significantly less than for PC3.</w:t>
      </w:r>
      <w:r w:rsidRPr="00673A0C">
        <w:rPr>
          <w:b/>
          <w:bCs/>
        </w:rPr>
        <w:fldChar w:fldCharType="end"/>
      </w:r>
      <w:r w:rsidR="0088688C" w:rsidRPr="00673A0C">
        <w:rPr>
          <w:b/>
          <w:bCs/>
        </w:rPr>
        <w:t xml:space="preserve"> </w:t>
      </w:r>
    </w:p>
    <w:p w14:paraId="4912BF3B" w14:textId="170E1C7C" w:rsidR="005342AD" w:rsidRPr="00D7519F" w:rsidRDefault="005342AD" w:rsidP="00102834">
      <w:pPr>
        <w:pStyle w:val="BodyText"/>
        <w:ind w:left="1418" w:hanging="1418"/>
        <w:rPr>
          <w:b/>
          <w:bCs/>
        </w:rPr>
      </w:pPr>
      <w:r w:rsidRPr="00D7519F">
        <w:rPr>
          <w:b/>
          <w:bCs/>
        </w:rPr>
        <w:fldChar w:fldCharType="begin"/>
      </w:r>
      <w:r w:rsidRPr="00D7519F">
        <w:rPr>
          <w:b/>
          <w:bCs/>
        </w:rPr>
        <w:instrText xml:space="preserve"> REF _Ref68109131 \h  \* MERGEFORMAT </w:instrText>
      </w:r>
      <w:r w:rsidRPr="00D7519F">
        <w:rPr>
          <w:b/>
          <w:bCs/>
        </w:rPr>
      </w:r>
      <w:r w:rsidRPr="00D7519F">
        <w:rPr>
          <w:b/>
          <w:bCs/>
        </w:rPr>
        <w:fldChar w:fldCharType="separate"/>
      </w:r>
      <w:r w:rsidR="00D7519F" w:rsidRPr="00D7519F">
        <w:rPr>
          <w:b/>
          <w:bCs/>
        </w:rPr>
        <w:t xml:space="preserve">Observation </w:t>
      </w:r>
      <w:r w:rsidR="00D7519F" w:rsidRPr="00D7519F">
        <w:rPr>
          <w:b/>
          <w:bCs/>
          <w:noProof/>
        </w:rPr>
        <w:t>2</w:t>
      </w:r>
      <w:r w:rsidR="00D7519F" w:rsidRPr="00D7519F">
        <w:rPr>
          <w:b/>
          <w:bCs/>
        </w:rPr>
        <w:tab/>
      </w:r>
      <w:r w:rsidR="00D7519F" w:rsidRPr="00D7519F">
        <w:rPr>
          <w:b/>
          <w:bCs/>
          <w:lang w:eastAsia="zh-CN"/>
        </w:rPr>
        <w:t>For high power non-handheld UE (PC4), MBR should not be more than for PC3.</w:t>
      </w:r>
      <w:r w:rsidRPr="00D7519F">
        <w:rPr>
          <w:b/>
          <w:bCs/>
        </w:rPr>
        <w:fldChar w:fldCharType="end"/>
      </w:r>
    </w:p>
    <w:p w14:paraId="39662BF7" w14:textId="043CD96E" w:rsidR="005342AD" w:rsidRPr="00444D16" w:rsidRDefault="005342AD" w:rsidP="00102834">
      <w:pPr>
        <w:pStyle w:val="BodyText"/>
        <w:ind w:left="1418" w:hanging="1418"/>
        <w:rPr>
          <w:b/>
          <w:bCs/>
        </w:rPr>
      </w:pPr>
      <w:r w:rsidRPr="00673A0C">
        <w:rPr>
          <w:b/>
          <w:bCs/>
        </w:rPr>
        <w:fldChar w:fldCharType="begin"/>
      </w:r>
      <w:r w:rsidRPr="00673A0C">
        <w:rPr>
          <w:b/>
          <w:bCs/>
        </w:rPr>
        <w:instrText xml:space="preserve"> REF _Ref21108741 \h  \* MERGEFORMAT </w:instrText>
      </w:r>
      <w:r w:rsidRPr="00673A0C">
        <w:rPr>
          <w:b/>
          <w:bCs/>
        </w:rPr>
      </w:r>
      <w:r w:rsidRPr="00673A0C">
        <w:rPr>
          <w:b/>
          <w:bCs/>
        </w:rPr>
        <w:fldChar w:fldCharType="separate"/>
      </w:r>
      <w:r w:rsidR="00D7519F" w:rsidRPr="00D7519F">
        <w:rPr>
          <w:b/>
          <w:bCs/>
        </w:rPr>
        <w:t xml:space="preserve">Observation </w:t>
      </w:r>
      <w:r w:rsidR="00D7519F" w:rsidRPr="00D7519F">
        <w:rPr>
          <w:b/>
          <w:bCs/>
          <w:noProof/>
        </w:rPr>
        <w:t>3</w:t>
      </w:r>
      <w:r w:rsidR="00D7519F" w:rsidRPr="00D7519F">
        <w:rPr>
          <w:b/>
          <w:bCs/>
        </w:rPr>
        <w:tab/>
        <w:t xml:space="preserve">The spherical coverage performance (delta between peak and specified percentile of EIRP) depends on many factors, </w:t>
      </w:r>
      <w:r w:rsidR="00D7519F" w:rsidRPr="00D7519F">
        <w:rPr>
          <w:b/>
          <w:bCs/>
          <w:lang w:val="en-GB"/>
        </w:rPr>
        <w:t>and it cannot be concluded that the n262 band must be worse than, e.g., n260 in terms of spherical</w:t>
      </w:r>
      <w:r w:rsidR="00D7519F" w:rsidRPr="00D7519F">
        <w:rPr>
          <w:b/>
          <w:bCs/>
        </w:rPr>
        <w:t xml:space="preserve"> </w:t>
      </w:r>
      <w:r w:rsidR="00D7519F" w:rsidRPr="00D7519F">
        <w:rPr>
          <w:b/>
          <w:bCs/>
          <w:lang w:val="en-GB"/>
        </w:rPr>
        <w:t>coverage</w:t>
      </w:r>
      <w:r w:rsidR="00D7519F" w:rsidRPr="00D7519F">
        <w:rPr>
          <w:b/>
          <w:bCs/>
        </w:rPr>
        <w:t>.</w:t>
      </w:r>
      <w:r w:rsidRPr="00673A0C">
        <w:rPr>
          <w:b/>
          <w:bCs/>
        </w:rPr>
        <w:fldChar w:fldCharType="end"/>
      </w:r>
    </w:p>
    <w:p w14:paraId="56BBEB7B" w14:textId="40642F8A" w:rsidR="00444D16" w:rsidRPr="00444D16" w:rsidRDefault="00444D16" w:rsidP="00102834">
      <w:pPr>
        <w:pStyle w:val="BodyText"/>
        <w:ind w:left="1418" w:hanging="1418"/>
        <w:rPr>
          <w:b/>
          <w:bCs/>
        </w:rPr>
      </w:pPr>
      <w:r w:rsidRPr="00444D16">
        <w:rPr>
          <w:b/>
          <w:bCs/>
        </w:rPr>
        <w:fldChar w:fldCharType="begin"/>
      </w:r>
      <w:r w:rsidRPr="00444D16">
        <w:rPr>
          <w:b/>
          <w:bCs/>
        </w:rPr>
        <w:instrText xml:space="preserve"> REF _Ref68111088 \h  \* MERGEFORMAT </w:instrText>
      </w:r>
      <w:r w:rsidRPr="00444D16">
        <w:rPr>
          <w:b/>
          <w:bCs/>
        </w:rPr>
      </w:r>
      <w:r w:rsidRPr="00444D16">
        <w:rPr>
          <w:b/>
          <w:bCs/>
        </w:rPr>
        <w:fldChar w:fldCharType="separate"/>
      </w:r>
      <w:r w:rsidR="00D7519F" w:rsidRPr="00D7519F">
        <w:rPr>
          <w:b/>
          <w:bCs/>
        </w:rPr>
        <w:t xml:space="preserve">Observation </w:t>
      </w:r>
      <w:r w:rsidR="00D7519F" w:rsidRPr="00D7519F">
        <w:rPr>
          <w:b/>
          <w:bCs/>
          <w:noProof/>
        </w:rPr>
        <w:t>4</w:t>
      </w:r>
      <w:r w:rsidR="00D7519F" w:rsidRPr="00D7519F">
        <w:rPr>
          <w:b/>
          <w:bCs/>
        </w:rPr>
        <w:tab/>
        <w:t>The gain drop (delta between peak and specified percentile of EIRP) for band n262 could be no worse than 0.5dB (PC1) to 1dB (PC2) compared to band n258.</w:t>
      </w:r>
      <w:r w:rsidRPr="00444D16">
        <w:rPr>
          <w:b/>
          <w:bCs/>
        </w:rPr>
        <w:fldChar w:fldCharType="end"/>
      </w:r>
    </w:p>
    <w:p w14:paraId="28B0A1A6" w14:textId="2F32C92D" w:rsidR="00444D16" w:rsidRPr="00444D16" w:rsidRDefault="00444D16" w:rsidP="00102834">
      <w:pPr>
        <w:pStyle w:val="BodyText"/>
        <w:ind w:left="1418" w:hanging="1418"/>
        <w:rPr>
          <w:b/>
          <w:bCs/>
        </w:rPr>
      </w:pPr>
      <w:r w:rsidRPr="00444D16">
        <w:rPr>
          <w:b/>
          <w:bCs/>
        </w:rPr>
        <w:fldChar w:fldCharType="begin"/>
      </w:r>
      <w:r w:rsidRPr="00444D16">
        <w:rPr>
          <w:b/>
          <w:bCs/>
        </w:rPr>
        <w:instrText xml:space="preserve"> REF _Ref20385669 \h  \* MERGEFORMAT </w:instrText>
      </w:r>
      <w:r w:rsidRPr="00444D16">
        <w:rPr>
          <w:b/>
          <w:bCs/>
        </w:rPr>
      </w:r>
      <w:r w:rsidRPr="00444D16">
        <w:rPr>
          <w:b/>
          <w:bCs/>
        </w:rPr>
        <w:fldChar w:fldCharType="separate"/>
      </w:r>
      <w:r w:rsidR="00D7519F" w:rsidRPr="00D7519F">
        <w:rPr>
          <w:b/>
          <w:bCs/>
        </w:rPr>
        <w:t xml:space="preserve">Proposal </w:t>
      </w:r>
      <w:r w:rsidR="00D7519F" w:rsidRPr="00D7519F">
        <w:rPr>
          <w:b/>
          <w:bCs/>
          <w:noProof/>
        </w:rPr>
        <w:t>1</w:t>
      </w:r>
      <w:r w:rsidR="00D7519F" w:rsidRPr="00D7519F">
        <w:rPr>
          <w:b/>
          <w:bCs/>
        </w:rPr>
        <w:tab/>
        <w:t>Companies shall provide the reference RF architecture they assumed when deriving the REFSENS link budget.</w:t>
      </w:r>
      <w:r w:rsidRPr="00444D16">
        <w:rPr>
          <w:b/>
          <w:bCs/>
        </w:rPr>
        <w:fldChar w:fldCharType="end"/>
      </w:r>
    </w:p>
    <w:p w14:paraId="333BB726" w14:textId="0348D1F7" w:rsidR="00444D16" w:rsidRPr="00B70F0D" w:rsidRDefault="00444D16" w:rsidP="00102834">
      <w:pPr>
        <w:pStyle w:val="BodyText"/>
        <w:ind w:left="1418" w:hanging="1418"/>
        <w:rPr>
          <w:b/>
          <w:bCs/>
        </w:rPr>
      </w:pPr>
      <w:r w:rsidRPr="00B70F0D">
        <w:rPr>
          <w:b/>
          <w:bCs/>
        </w:rPr>
        <w:fldChar w:fldCharType="begin"/>
      </w:r>
      <w:r w:rsidRPr="00B70F0D">
        <w:rPr>
          <w:b/>
          <w:bCs/>
        </w:rPr>
        <w:instrText xml:space="preserve"> REF _Ref68111206 \h  \* MERGEFORMAT </w:instrText>
      </w:r>
      <w:r w:rsidRPr="00B70F0D">
        <w:rPr>
          <w:b/>
          <w:bCs/>
        </w:rPr>
      </w:r>
      <w:r w:rsidRPr="00B70F0D">
        <w:rPr>
          <w:b/>
          <w:bCs/>
        </w:rPr>
        <w:fldChar w:fldCharType="separate"/>
      </w:r>
      <w:r w:rsidR="00D7519F" w:rsidRPr="00D7519F">
        <w:rPr>
          <w:b/>
          <w:bCs/>
        </w:rPr>
        <w:t xml:space="preserve">Proposal </w:t>
      </w:r>
      <w:r w:rsidR="00D7519F" w:rsidRPr="00D7519F">
        <w:rPr>
          <w:b/>
          <w:bCs/>
          <w:noProof/>
        </w:rPr>
        <w:t>2</w:t>
      </w:r>
      <w:r w:rsidR="00D7519F" w:rsidRPr="00D7519F">
        <w:rPr>
          <w:b/>
          <w:bCs/>
        </w:rPr>
        <w:tab/>
        <w:t>According to our estimate minimum peak EIRP, n262, shall be:</w:t>
      </w:r>
      <w:r w:rsidR="00D7519F" w:rsidRPr="00D7519F">
        <w:rPr>
          <w:b/>
          <w:bCs/>
        </w:rPr>
        <w:br/>
        <w:t xml:space="preserve">PC1 -91.7 dBm, </w:t>
      </w:r>
      <w:r w:rsidR="00D7519F" w:rsidRPr="00D7519F">
        <w:rPr>
          <w:b/>
          <w:bCs/>
        </w:rPr>
        <w:br/>
        <w:t>PC2 -84.5dBm,</w:t>
      </w:r>
      <w:r w:rsidR="00D7519F" w:rsidRPr="00D7519F">
        <w:rPr>
          <w:b/>
          <w:bCs/>
        </w:rPr>
        <w:br/>
        <w:t>PC4 -86.7dBm</w:t>
      </w:r>
      <w:r w:rsidR="00D7519F">
        <w:t>.</w:t>
      </w:r>
      <w:r w:rsidRPr="00B70F0D">
        <w:rPr>
          <w:b/>
          <w:bCs/>
        </w:rPr>
        <w:fldChar w:fldCharType="end"/>
      </w: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References</w:t>
      </w:r>
    </w:p>
    <w:p w14:paraId="552F3A9E" w14:textId="7F7794AE" w:rsidR="00A308A5" w:rsidRDefault="00A308A5" w:rsidP="00610D13">
      <w:pPr>
        <w:widowControl w:val="0"/>
        <w:numPr>
          <w:ilvl w:val="0"/>
          <w:numId w:val="29"/>
        </w:numPr>
        <w:tabs>
          <w:tab w:val="clear" w:pos="420"/>
          <w:tab w:val="left" w:pos="1701"/>
        </w:tabs>
      </w:pPr>
      <w:bookmarkStart w:id="11" w:name="_Ref4588121"/>
      <w:bookmarkStart w:id="12" w:name="_Ref68018353"/>
      <w:bookmarkStart w:id="13" w:name="_Ref484009661"/>
      <w:bookmarkStart w:id="14" w:name="_Ref447703865"/>
      <w:bookmarkStart w:id="15" w:name="_Ref455046197"/>
      <w:bookmarkStart w:id="16" w:name="_Ref473734040"/>
      <w:bookmarkStart w:id="17" w:name="_Ref481653652"/>
      <w:bookmarkStart w:id="18" w:name="_Ref447634836"/>
      <w:bookmarkStart w:id="19" w:name="_Ref447633816"/>
      <w:bookmarkStart w:id="20" w:name="_Ref536518839"/>
      <w:bookmarkStart w:id="21" w:name="_Ref528673925"/>
      <w:bookmarkStart w:id="22" w:name="_Ref525739026"/>
      <w:bookmarkStart w:id="23" w:name="_Ref513646437"/>
      <w:bookmarkStart w:id="24" w:name="_Ref508875069"/>
      <w:bookmarkStart w:id="25" w:name="_Ref508874720"/>
      <w:bookmarkStart w:id="26" w:name="_Ref6492287"/>
      <w:r w:rsidRPr="008B2A22">
        <w:t>RP-</w:t>
      </w:r>
      <w:r w:rsidR="000F0BBF">
        <w:t>2</w:t>
      </w:r>
      <w:r w:rsidR="00B02A6B">
        <w:t>10827</w:t>
      </w:r>
      <w:r>
        <w:t xml:space="preserve">, </w:t>
      </w:r>
      <w:r w:rsidR="00C42FFA">
        <w:tab/>
      </w:r>
      <w:r>
        <w:t>“</w:t>
      </w:r>
      <w:r w:rsidR="00B02A6B">
        <w:t>Revised</w:t>
      </w:r>
      <w:r w:rsidRPr="008B2A22">
        <w:t xml:space="preserve"> WID: introduction of </w:t>
      </w:r>
      <w:r w:rsidR="000F0BBF">
        <w:t>NR 47GHz band</w:t>
      </w:r>
      <w:r w:rsidR="009F34C0">
        <w:t>”</w:t>
      </w:r>
      <w:r>
        <w:t xml:space="preserve">, </w:t>
      </w:r>
      <w:r w:rsidRPr="009F34C0">
        <w:rPr>
          <w:i/>
          <w:iCs/>
        </w:rPr>
        <w:t>RAN #</w:t>
      </w:r>
      <w:r w:rsidR="00B02A6B" w:rsidRPr="009F34C0">
        <w:rPr>
          <w:i/>
          <w:iCs/>
        </w:rPr>
        <w:t>91</w:t>
      </w:r>
      <w:r w:rsidR="000F0BBF" w:rsidRPr="009F34C0">
        <w:rPr>
          <w:i/>
          <w:iCs/>
        </w:rPr>
        <w:t>-e</w:t>
      </w:r>
      <w:r w:rsidRPr="009F34C0">
        <w:rPr>
          <w:i/>
          <w:iCs/>
        </w:rPr>
        <w:t xml:space="preserve">, </w:t>
      </w:r>
      <w:r w:rsidR="00B02A6B" w:rsidRPr="009F34C0">
        <w:rPr>
          <w:i/>
          <w:iCs/>
        </w:rPr>
        <w:t>March</w:t>
      </w:r>
      <w:r w:rsidRPr="009F34C0">
        <w:rPr>
          <w:i/>
          <w:iCs/>
        </w:rPr>
        <w:t xml:space="preserve"> 20</w:t>
      </w:r>
      <w:bookmarkEnd w:id="11"/>
      <w:r w:rsidR="000F0BBF" w:rsidRPr="009F34C0">
        <w:rPr>
          <w:i/>
          <w:iCs/>
        </w:rPr>
        <w:t>2</w:t>
      </w:r>
      <w:r w:rsidR="00B02A6B" w:rsidRPr="009F34C0">
        <w:rPr>
          <w:i/>
          <w:iCs/>
        </w:rPr>
        <w:t>1</w:t>
      </w:r>
      <w:bookmarkEnd w:id="12"/>
    </w:p>
    <w:p w14:paraId="6FCFF5B4" w14:textId="42FE28FD" w:rsidR="009F34C0" w:rsidRDefault="009F34C0" w:rsidP="009F34C0">
      <w:pPr>
        <w:widowControl w:val="0"/>
        <w:numPr>
          <w:ilvl w:val="0"/>
          <w:numId w:val="29"/>
        </w:numPr>
        <w:tabs>
          <w:tab w:val="clear" w:pos="420"/>
          <w:tab w:val="left" w:pos="1701"/>
        </w:tabs>
      </w:pPr>
      <w:bookmarkStart w:id="27" w:name="_Ref68018987"/>
      <w:bookmarkStart w:id="28" w:name="_Ref61428567"/>
      <w:bookmarkStart w:id="29" w:name="_Ref54094232"/>
      <w:bookmarkStart w:id="30" w:name="_Ref19885546"/>
      <w:r w:rsidRPr="009F34C0">
        <w:t>R4-2103312</w:t>
      </w:r>
      <w:r>
        <w:t>,</w:t>
      </w:r>
      <w:r>
        <w:tab/>
        <w:t>“</w:t>
      </w:r>
      <w:r w:rsidRPr="009F34C0">
        <w:t>Email discussion summary for [98e][124] NR_47GHz_Band</w:t>
      </w:r>
      <w:r>
        <w:t>”</w:t>
      </w:r>
      <w:r w:rsidRPr="009F34C0">
        <w:t>,</w:t>
      </w:r>
      <w:r w:rsidRPr="009F34C0">
        <w:rPr>
          <w:i/>
          <w:iCs/>
        </w:rPr>
        <w:t xml:space="preserve"> </w:t>
      </w:r>
      <w:r w:rsidRPr="00D71CED">
        <w:rPr>
          <w:i/>
          <w:iCs/>
        </w:rPr>
        <w:t>Moderator (Nokia)</w:t>
      </w:r>
      <w:bookmarkEnd w:id="27"/>
    </w:p>
    <w:p w14:paraId="62D8F9F6" w14:textId="6CDCDB24" w:rsidR="00164028" w:rsidRDefault="00164028" w:rsidP="00164028">
      <w:pPr>
        <w:widowControl w:val="0"/>
        <w:numPr>
          <w:ilvl w:val="0"/>
          <w:numId w:val="29"/>
        </w:numPr>
        <w:tabs>
          <w:tab w:val="clear" w:pos="420"/>
          <w:tab w:val="left" w:pos="1701"/>
        </w:tabs>
      </w:pPr>
      <w:bookmarkStart w:id="31" w:name="_Ref68019685"/>
      <w:r w:rsidRPr="00164028">
        <w:t>RP-2</w:t>
      </w:r>
      <w:r w:rsidR="00ED31B3">
        <w:t>1004</w:t>
      </w:r>
      <w:r w:rsidRPr="00164028">
        <w:t>4</w:t>
      </w:r>
      <w:r>
        <w:t>,</w:t>
      </w:r>
      <w:r>
        <w:tab/>
        <w:t>“</w:t>
      </w:r>
      <w:r w:rsidRPr="00164028">
        <w:t>Status Report to TSG</w:t>
      </w:r>
      <w:r>
        <w:t xml:space="preserve">”, </w:t>
      </w:r>
      <w:r w:rsidRPr="00164028">
        <w:rPr>
          <w:i/>
          <w:iCs/>
        </w:rPr>
        <w:t xml:space="preserve">Rapporteur </w:t>
      </w:r>
      <w:r w:rsidRPr="00D71CED">
        <w:rPr>
          <w:i/>
          <w:iCs/>
        </w:rPr>
        <w:t>(Nokia)</w:t>
      </w:r>
      <w:bookmarkEnd w:id="28"/>
      <w:bookmarkEnd w:id="31"/>
    </w:p>
    <w:p w14:paraId="60D9C091" w14:textId="756AA132" w:rsidR="004A7C29" w:rsidRDefault="004A7C29" w:rsidP="00236D1B">
      <w:pPr>
        <w:widowControl w:val="0"/>
        <w:numPr>
          <w:ilvl w:val="0"/>
          <w:numId w:val="29"/>
        </w:numPr>
        <w:tabs>
          <w:tab w:val="clear" w:pos="420"/>
          <w:tab w:val="left" w:pos="1701"/>
        </w:tabs>
      </w:pPr>
      <w:bookmarkStart w:id="32" w:name="_Ref68092437"/>
      <w:bookmarkStart w:id="33" w:name="_Ref61356293"/>
      <w:bookmarkEnd w:id="29"/>
      <w:r>
        <w:t>TR 38.817-01</w:t>
      </w:r>
      <w:bookmarkEnd w:id="32"/>
      <w:r w:rsidR="00AE208A">
        <w:tab/>
        <w:t>“</w:t>
      </w:r>
      <w:r w:rsidR="00AE208A" w:rsidRPr="00AE208A">
        <w:t>General aspects for User Equipment (UE) Radio Frequency</w:t>
      </w:r>
      <w:r w:rsidR="00AE208A">
        <w:t>”</w:t>
      </w:r>
    </w:p>
    <w:p w14:paraId="256D3450" w14:textId="32DB651D" w:rsidR="00730030" w:rsidRDefault="00730030" w:rsidP="00892C32">
      <w:pPr>
        <w:widowControl w:val="0"/>
        <w:numPr>
          <w:ilvl w:val="0"/>
          <w:numId w:val="29"/>
        </w:numPr>
        <w:tabs>
          <w:tab w:val="clear" w:pos="420"/>
          <w:tab w:val="left" w:pos="1701"/>
        </w:tabs>
      </w:pPr>
      <w:r>
        <w:t>TS 38.101-2</w:t>
      </w:r>
      <w:r w:rsidR="00AE208A">
        <w:tab/>
        <w:t>“User Equipment (UE) radio transmission and reception, Part 2: Range 2”</w:t>
      </w:r>
    </w:p>
    <w:p w14:paraId="26AE7F8B" w14:textId="77777777" w:rsidR="007D7201" w:rsidRPr="00C230DF" w:rsidRDefault="007D7201" w:rsidP="007D7201">
      <w:pPr>
        <w:widowControl w:val="0"/>
        <w:numPr>
          <w:ilvl w:val="0"/>
          <w:numId w:val="29"/>
        </w:numPr>
        <w:tabs>
          <w:tab w:val="clear" w:pos="420"/>
          <w:tab w:val="left" w:pos="1701"/>
        </w:tabs>
      </w:pPr>
      <w:bookmarkStart w:id="34" w:name="_Ref54094321"/>
      <w:r w:rsidRPr="00D926A7">
        <w:t>R4-</w:t>
      </w:r>
      <w:r>
        <w:t xml:space="preserve">2011817, </w:t>
      </w:r>
      <w:r>
        <w:tab/>
        <w:t>“</w:t>
      </w:r>
      <w:r w:rsidRPr="00D926A7">
        <w:t>WF on link budget parameters for Tx/Rx of n2</w:t>
      </w:r>
      <w:r>
        <w:t xml:space="preserve">62”, </w:t>
      </w:r>
      <w:r w:rsidRPr="00D926A7">
        <w:rPr>
          <w:i/>
        </w:rPr>
        <w:t xml:space="preserve">Huawei, </w:t>
      </w:r>
      <w:proofErr w:type="spellStart"/>
      <w:r w:rsidRPr="00D926A7">
        <w:rPr>
          <w:i/>
        </w:rPr>
        <w:t>HiSilicon</w:t>
      </w:r>
      <w:proofErr w:type="spellEnd"/>
      <w:r w:rsidRPr="00D926A7">
        <w:rPr>
          <w:i/>
        </w:rPr>
        <w:t>, Apple</w:t>
      </w:r>
      <w:bookmarkEnd w:id="34"/>
    </w:p>
    <w:p w14:paraId="15816D17" w14:textId="5D45FE19" w:rsidR="00712F3D" w:rsidRPr="00373D6E" w:rsidRDefault="00F31D51" w:rsidP="00712F3D">
      <w:pPr>
        <w:widowControl w:val="0"/>
        <w:numPr>
          <w:ilvl w:val="0"/>
          <w:numId w:val="29"/>
        </w:numPr>
        <w:tabs>
          <w:tab w:val="clear" w:pos="420"/>
          <w:tab w:val="left" w:pos="1701"/>
        </w:tabs>
      </w:pPr>
      <w:bookmarkStart w:id="35" w:name="_Ref61436654"/>
      <w:bookmarkEnd w:id="33"/>
      <w:r w:rsidRPr="00F31D51">
        <w:t>R4-2104695</w:t>
      </w:r>
      <w:r w:rsidR="00712F3D">
        <w:t>,</w:t>
      </w:r>
      <w:r w:rsidR="00712F3D">
        <w:tab/>
        <w:t>“</w:t>
      </w:r>
      <w:r w:rsidRPr="00F31D51">
        <w:t>Peak EIRP and EIRP spherical coverage for PC1, PC2, PC4 for n262</w:t>
      </w:r>
      <w:r w:rsidR="00712F3D">
        <w:t xml:space="preserve">”, </w:t>
      </w:r>
      <w:r w:rsidR="00712F3D" w:rsidRPr="00373D6E">
        <w:rPr>
          <w:i/>
          <w:iCs/>
        </w:rPr>
        <w:t>Sony, Ericsson</w:t>
      </w:r>
      <w:bookmarkEnd w:id="35"/>
    </w:p>
    <w:p w14:paraId="2B11EEBA" w14:textId="57810987" w:rsidR="00FC2C71" w:rsidRDefault="00FC2C71" w:rsidP="00FC2C71">
      <w:pPr>
        <w:widowControl w:val="0"/>
        <w:numPr>
          <w:ilvl w:val="0"/>
          <w:numId w:val="29"/>
        </w:numPr>
        <w:tabs>
          <w:tab w:val="clear" w:pos="420"/>
          <w:tab w:val="left" w:pos="1701"/>
        </w:tabs>
      </w:pPr>
      <w:bookmarkStart w:id="36" w:name="_Ref20139024"/>
      <w:bookmarkStart w:id="37" w:name="_Ref61362363"/>
      <w:r w:rsidRPr="00FC1B6B">
        <w:rPr>
          <w:rFonts w:hint="eastAsia"/>
        </w:rPr>
        <w:t>R4-1709951</w:t>
      </w:r>
      <w:r>
        <w:t>,</w:t>
      </w:r>
      <w:r>
        <w:tab/>
        <w:t>“</w:t>
      </w:r>
      <w:r w:rsidRPr="00FC1B6B">
        <w:t>Way forward on NR REFSENS SNR simulation assumptions</w:t>
      </w:r>
      <w:r>
        <w:t xml:space="preserve">”, </w:t>
      </w:r>
      <w:r w:rsidRPr="00FC1B6B">
        <w:rPr>
          <w:i/>
        </w:rPr>
        <w:t>Huawei, Intel</w:t>
      </w:r>
      <w:bookmarkEnd w:id="36"/>
    </w:p>
    <w:p w14:paraId="7ADB60DA" w14:textId="3BDD1240" w:rsidR="0026689B" w:rsidRPr="001D7A24" w:rsidRDefault="001D7A24" w:rsidP="00236D1B">
      <w:pPr>
        <w:widowControl w:val="0"/>
        <w:numPr>
          <w:ilvl w:val="0"/>
          <w:numId w:val="29"/>
        </w:numPr>
        <w:tabs>
          <w:tab w:val="clear" w:pos="420"/>
          <w:tab w:val="left" w:pos="1701"/>
        </w:tabs>
      </w:pPr>
      <w:r w:rsidRPr="001D7A24">
        <w:t>R4-2015855</w:t>
      </w:r>
      <w:r>
        <w:t>,</w:t>
      </w:r>
      <w:r>
        <w:tab/>
        <w:t>“</w:t>
      </w:r>
      <w:r w:rsidRPr="001D7A24">
        <w:t>Link budget for PC3 for n262</w:t>
      </w:r>
      <w:r>
        <w:t xml:space="preserve">”, </w:t>
      </w:r>
      <w:r w:rsidRPr="001D7A24">
        <w:rPr>
          <w:i/>
          <w:iCs/>
        </w:rPr>
        <w:t>Sony, Ericsson</w:t>
      </w:r>
      <w:bookmarkEnd w:id="37"/>
    </w:p>
    <w:p w14:paraId="43EEDB03" w14:textId="07B5A6B1" w:rsidR="00AE208A" w:rsidRPr="00AE208A" w:rsidRDefault="00AE208A" w:rsidP="006D2AE9">
      <w:pPr>
        <w:pStyle w:val="ListParagraph"/>
        <w:numPr>
          <w:ilvl w:val="0"/>
          <w:numId w:val="29"/>
        </w:numPr>
        <w:tabs>
          <w:tab w:val="clear" w:pos="420"/>
          <w:tab w:val="left" w:pos="1701"/>
        </w:tabs>
        <w:rPr>
          <w:rFonts w:eastAsia="SimSun"/>
        </w:rPr>
      </w:pPr>
      <w:bookmarkStart w:id="38" w:name="_Ref68196497"/>
      <w:bookmarkStart w:id="39" w:name="_Ref20153914"/>
      <w:bookmarkEnd w:id="30"/>
      <w:r w:rsidRPr="00AE208A">
        <w:rPr>
          <w:rFonts w:eastAsia="SimSun"/>
        </w:rPr>
        <w:t>TS 38.810</w:t>
      </w:r>
      <w:r w:rsidRPr="00AE208A">
        <w:rPr>
          <w:rFonts w:eastAsia="SimSun"/>
        </w:rPr>
        <w:tab/>
        <w:t>“NR, Study on test methods</w:t>
      </w:r>
      <w:r>
        <w:rPr>
          <w:rFonts w:eastAsia="SimSun"/>
        </w:rPr>
        <w:t>”</w:t>
      </w:r>
      <w:bookmarkEnd w:id="38"/>
    </w:p>
    <w:p w14:paraId="5262D6DF" w14:textId="56F9B057" w:rsidR="00585A48" w:rsidRPr="00C230DF" w:rsidRDefault="00585A48" w:rsidP="00610D13">
      <w:pPr>
        <w:pStyle w:val="ListParagraph"/>
        <w:numPr>
          <w:ilvl w:val="0"/>
          <w:numId w:val="29"/>
        </w:numPr>
        <w:tabs>
          <w:tab w:val="clear" w:pos="420"/>
          <w:tab w:val="left" w:pos="1701"/>
        </w:tabs>
        <w:rPr>
          <w:rFonts w:eastAsia="SimSun"/>
        </w:rPr>
      </w:pPr>
      <w:r w:rsidRPr="00585A48">
        <w:rPr>
          <w:rFonts w:eastAsia="SimSun"/>
        </w:rPr>
        <w:t>R4-1815845</w:t>
      </w:r>
      <w:r>
        <w:rPr>
          <w:rFonts w:eastAsia="SimSun"/>
        </w:rPr>
        <w:t>,</w:t>
      </w:r>
      <w:r w:rsidR="00610D13">
        <w:rPr>
          <w:rFonts w:eastAsia="SimSun"/>
        </w:rPr>
        <w:tab/>
        <w:t>“</w:t>
      </w:r>
      <w:r w:rsidR="00610D13" w:rsidRPr="00610D13">
        <w:rPr>
          <w:rFonts w:eastAsia="SimSun"/>
        </w:rPr>
        <w:t>UE Spherical EIRP for the 28GHz and 39GHz bands</w:t>
      </w:r>
      <w:r w:rsidR="00610D13">
        <w:rPr>
          <w:rFonts w:eastAsia="SimSun"/>
        </w:rPr>
        <w:t xml:space="preserve">”, </w:t>
      </w:r>
      <w:r w:rsidR="00610D13" w:rsidRPr="00C42FFA">
        <w:rPr>
          <w:i/>
        </w:rPr>
        <w:t>Sony</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39"/>
    </w:p>
    <w:sectPr w:rsidR="00585A48" w:rsidRPr="00C230DF" w:rsidSect="00506F11">
      <w:pgSz w:w="11907" w:h="16840" w:code="9"/>
      <w:pgMar w:top="1134" w:right="1021" w:bottom="1287"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DBDB9" w14:textId="77777777" w:rsidR="009F29A7" w:rsidRDefault="009F29A7">
      <w:r>
        <w:separator/>
      </w:r>
    </w:p>
  </w:endnote>
  <w:endnote w:type="continuationSeparator" w:id="0">
    <w:p w14:paraId="30455660" w14:textId="77777777" w:rsidR="009F29A7" w:rsidRDefault="009F2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52E81" w14:textId="77777777" w:rsidR="009F29A7" w:rsidRDefault="009F29A7">
      <w:r>
        <w:separator/>
      </w:r>
    </w:p>
  </w:footnote>
  <w:footnote w:type="continuationSeparator" w:id="0">
    <w:p w14:paraId="3E1CC75B" w14:textId="77777777" w:rsidR="009F29A7" w:rsidRDefault="009F29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05335A"/>
    <w:multiLevelType w:val="hybridMultilevel"/>
    <w:tmpl w:val="5EA431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6" w15:restartNumberingAfterBreak="0">
    <w:nsid w:val="1DF62F49"/>
    <w:multiLevelType w:val="hybridMultilevel"/>
    <w:tmpl w:val="920C8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9" w15:restartNumberingAfterBreak="0">
    <w:nsid w:val="264B4D6E"/>
    <w:multiLevelType w:val="hybridMultilevel"/>
    <w:tmpl w:val="13389D4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251C6A"/>
    <w:multiLevelType w:val="hybridMultilevel"/>
    <w:tmpl w:val="8E503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684C796D"/>
    <w:multiLevelType w:val="hybridMultilevel"/>
    <w:tmpl w:val="420E8E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9"/>
  </w:num>
  <w:num w:numId="4">
    <w:abstractNumId w:val="10"/>
  </w:num>
  <w:num w:numId="5">
    <w:abstractNumId w:val="4"/>
  </w:num>
  <w:num w:numId="6">
    <w:abstractNumId w:val="16"/>
  </w:num>
  <w:num w:numId="7">
    <w:abstractNumId w:val="18"/>
  </w:num>
  <w:num w:numId="8">
    <w:abstractNumId w:val="1"/>
  </w:num>
  <w:num w:numId="9">
    <w:abstractNumId w:val="13"/>
  </w:num>
  <w:num w:numId="10">
    <w:abstractNumId w:val="14"/>
  </w:num>
  <w:num w:numId="11">
    <w:abstractNumId w:val="15"/>
  </w:num>
  <w:num w:numId="12">
    <w:abstractNumId w:val="5"/>
  </w:num>
  <w:num w:numId="13">
    <w:abstractNumId w:val="1"/>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8"/>
  </w:num>
  <w:num w:numId="21">
    <w:abstractNumId w:val="1"/>
  </w:num>
  <w:num w:numId="22">
    <w:abstractNumId w:val="1"/>
  </w:num>
  <w:num w:numId="23">
    <w:abstractNumId w:val="3"/>
  </w:num>
  <w:num w:numId="24">
    <w:abstractNumId w:val="1"/>
  </w:num>
  <w:num w:numId="25">
    <w:abstractNumId w:val="16"/>
  </w:num>
  <w:num w:numId="26">
    <w:abstractNumId w:val="16"/>
  </w:num>
  <w:num w:numId="27">
    <w:abstractNumId w:val="16"/>
  </w:num>
  <w:num w:numId="28">
    <w:abstractNumId w:val="16"/>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1"/>
  </w:num>
  <w:num w:numId="33">
    <w:abstractNumId w:val="6"/>
  </w:num>
  <w:num w:numId="34">
    <w:abstractNumId w:val="9"/>
  </w:num>
  <w:num w:numId="35">
    <w:abstractNumId w:val="1"/>
  </w:num>
  <w:num w:numId="36">
    <w:abstractNumId w:val="17"/>
  </w:num>
  <w:num w:numId="37">
    <w:abstractNumId w:val="1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710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zNzIwMjQyNDA3MDNV0lEKTi0uzszPAykwqQUAxtCSgC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07F2C"/>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0AE"/>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635A"/>
    <w:rsid w:val="00026455"/>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CA4"/>
    <w:rsid w:val="00033D50"/>
    <w:rsid w:val="00034588"/>
    <w:rsid w:val="000349EF"/>
    <w:rsid w:val="00034A23"/>
    <w:rsid w:val="00034EE7"/>
    <w:rsid w:val="00035750"/>
    <w:rsid w:val="00036205"/>
    <w:rsid w:val="000368D9"/>
    <w:rsid w:val="00036E28"/>
    <w:rsid w:val="000378B0"/>
    <w:rsid w:val="00037B4D"/>
    <w:rsid w:val="00037BA8"/>
    <w:rsid w:val="00037C84"/>
    <w:rsid w:val="00037C8C"/>
    <w:rsid w:val="000408DC"/>
    <w:rsid w:val="00040FDB"/>
    <w:rsid w:val="0004120A"/>
    <w:rsid w:val="000412D0"/>
    <w:rsid w:val="0004138F"/>
    <w:rsid w:val="0004186A"/>
    <w:rsid w:val="0004222A"/>
    <w:rsid w:val="000423D8"/>
    <w:rsid w:val="00043435"/>
    <w:rsid w:val="00043490"/>
    <w:rsid w:val="00043861"/>
    <w:rsid w:val="00044266"/>
    <w:rsid w:val="0004453E"/>
    <w:rsid w:val="000446A1"/>
    <w:rsid w:val="0004522E"/>
    <w:rsid w:val="000455AB"/>
    <w:rsid w:val="0004599A"/>
    <w:rsid w:val="000460A1"/>
    <w:rsid w:val="0004685F"/>
    <w:rsid w:val="00046FA7"/>
    <w:rsid w:val="00047837"/>
    <w:rsid w:val="00047A1E"/>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274"/>
    <w:rsid w:val="0005591E"/>
    <w:rsid w:val="00055F84"/>
    <w:rsid w:val="00055FD9"/>
    <w:rsid w:val="00056106"/>
    <w:rsid w:val="000561B7"/>
    <w:rsid w:val="000566DC"/>
    <w:rsid w:val="0005675E"/>
    <w:rsid w:val="00056BB8"/>
    <w:rsid w:val="00056DA8"/>
    <w:rsid w:val="00057100"/>
    <w:rsid w:val="0005789E"/>
    <w:rsid w:val="00057D86"/>
    <w:rsid w:val="0006072E"/>
    <w:rsid w:val="00060B6F"/>
    <w:rsid w:val="0006134B"/>
    <w:rsid w:val="00061374"/>
    <w:rsid w:val="000615C1"/>
    <w:rsid w:val="00061D8D"/>
    <w:rsid w:val="0006270D"/>
    <w:rsid w:val="0006287A"/>
    <w:rsid w:val="00062F4D"/>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0B07"/>
    <w:rsid w:val="000715FA"/>
    <w:rsid w:val="0007187D"/>
    <w:rsid w:val="00071A4C"/>
    <w:rsid w:val="00071C81"/>
    <w:rsid w:val="00071FFD"/>
    <w:rsid w:val="00072165"/>
    <w:rsid w:val="0007271F"/>
    <w:rsid w:val="00072A39"/>
    <w:rsid w:val="00072C23"/>
    <w:rsid w:val="00072CBB"/>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15C"/>
    <w:rsid w:val="0009332B"/>
    <w:rsid w:val="00093B1A"/>
    <w:rsid w:val="0009415D"/>
    <w:rsid w:val="00094517"/>
    <w:rsid w:val="00095316"/>
    <w:rsid w:val="000954AF"/>
    <w:rsid w:val="0009571E"/>
    <w:rsid w:val="0009574D"/>
    <w:rsid w:val="00095840"/>
    <w:rsid w:val="00095962"/>
    <w:rsid w:val="000964C7"/>
    <w:rsid w:val="00097113"/>
    <w:rsid w:val="00097669"/>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2F4"/>
    <w:rsid w:val="000B0358"/>
    <w:rsid w:val="000B0D61"/>
    <w:rsid w:val="000B0F74"/>
    <w:rsid w:val="000B1579"/>
    <w:rsid w:val="000B1B63"/>
    <w:rsid w:val="000B1D7E"/>
    <w:rsid w:val="000B1EEB"/>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2B1"/>
    <w:rsid w:val="000D5905"/>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701"/>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0BBF"/>
    <w:rsid w:val="000F17BA"/>
    <w:rsid w:val="000F1C85"/>
    <w:rsid w:val="000F1D8C"/>
    <w:rsid w:val="000F2416"/>
    <w:rsid w:val="000F2FCE"/>
    <w:rsid w:val="000F3129"/>
    <w:rsid w:val="000F34F2"/>
    <w:rsid w:val="000F3C59"/>
    <w:rsid w:val="000F4113"/>
    <w:rsid w:val="000F4359"/>
    <w:rsid w:val="000F4798"/>
    <w:rsid w:val="000F493E"/>
    <w:rsid w:val="000F4B6B"/>
    <w:rsid w:val="000F4F7A"/>
    <w:rsid w:val="000F6500"/>
    <w:rsid w:val="000F6DE5"/>
    <w:rsid w:val="000F785B"/>
    <w:rsid w:val="000F7949"/>
    <w:rsid w:val="000F7D7A"/>
    <w:rsid w:val="000F7EBF"/>
    <w:rsid w:val="000F7F74"/>
    <w:rsid w:val="000F7F84"/>
    <w:rsid w:val="000F7FCA"/>
    <w:rsid w:val="00100769"/>
    <w:rsid w:val="00100AD7"/>
    <w:rsid w:val="00100F60"/>
    <w:rsid w:val="001016E8"/>
    <w:rsid w:val="00101871"/>
    <w:rsid w:val="00101CE2"/>
    <w:rsid w:val="001024D3"/>
    <w:rsid w:val="0010260E"/>
    <w:rsid w:val="00102683"/>
    <w:rsid w:val="0010279D"/>
    <w:rsid w:val="00102834"/>
    <w:rsid w:val="00102845"/>
    <w:rsid w:val="00102A35"/>
    <w:rsid w:val="00103365"/>
    <w:rsid w:val="0010366B"/>
    <w:rsid w:val="001038DD"/>
    <w:rsid w:val="00104963"/>
    <w:rsid w:val="00104BCD"/>
    <w:rsid w:val="00104F20"/>
    <w:rsid w:val="001055E0"/>
    <w:rsid w:val="00106F18"/>
    <w:rsid w:val="00106F19"/>
    <w:rsid w:val="00106F4B"/>
    <w:rsid w:val="0010713B"/>
    <w:rsid w:val="0010729E"/>
    <w:rsid w:val="00107A1A"/>
    <w:rsid w:val="001101D8"/>
    <w:rsid w:val="00110CB4"/>
    <w:rsid w:val="00110D19"/>
    <w:rsid w:val="00111167"/>
    <w:rsid w:val="00111178"/>
    <w:rsid w:val="00111C7D"/>
    <w:rsid w:val="0011208F"/>
    <w:rsid w:val="00112168"/>
    <w:rsid w:val="001122CB"/>
    <w:rsid w:val="001135A6"/>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5FE"/>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A13"/>
    <w:rsid w:val="00150DA2"/>
    <w:rsid w:val="00150FE7"/>
    <w:rsid w:val="0015117C"/>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CA9"/>
    <w:rsid w:val="00162D2F"/>
    <w:rsid w:val="00162F82"/>
    <w:rsid w:val="001638B9"/>
    <w:rsid w:val="00164028"/>
    <w:rsid w:val="001653F3"/>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2A"/>
    <w:rsid w:val="001727F8"/>
    <w:rsid w:val="0017282B"/>
    <w:rsid w:val="00172975"/>
    <w:rsid w:val="00172A4D"/>
    <w:rsid w:val="00173037"/>
    <w:rsid w:val="001736F3"/>
    <w:rsid w:val="001739BC"/>
    <w:rsid w:val="001744A0"/>
    <w:rsid w:val="0017520A"/>
    <w:rsid w:val="00175233"/>
    <w:rsid w:val="001752D2"/>
    <w:rsid w:val="0017570C"/>
    <w:rsid w:val="001760DD"/>
    <w:rsid w:val="001761C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5E00"/>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4E3F"/>
    <w:rsid w:val="00195629"/>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A7667"/>
    <w:rsid w:val="001B0241"/>
    <w:rsid w:val="001B04FA"/>
    <w:rsid w:val="001B0517"/>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5E98"/>
    <w:rsid w:val="001D6272"/>
    <w:rsid w:val="001D6A43"/>
    <w:rsid w:val="001D6A8F"/>
    <w:rsid w:val="001D72B4"/>
    <w:rsid w:val="001D72D9"/>
    <w:rsid w:val="001D73FD"/>
    <w:rsid w:val="001D747D"/>
    <w:rsid w:val="001D7628"/>
    <w:rsid w:val="001D7A24"/>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18"/>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2788"/>
    <w:rsid w:val="002132E2"/>
    <w:rsid w:val="0021398E"/>
    <w:rsid w:val="00213BDC"/>
    <w:rsid w:val="00213E63"/>
    <w:rsid w:val="00213F90"/>
    <w:rsid w:val="002151D3"/>
    <w:rsid w:val="0021521A"/>
    <w:rsid w:val="00215533"/>
    <w:rsid w:val="00215CBD"/>
    <w:rsid w:val="00215CCD"/>
    <w:rsid w:val="00215DDE"/>
    <w:rsid w:val="00216C8F"/>
    <w:rsid w:val="00216F27"/>
    <w:rsid w:val="002175AC"/>
    <w:rsid w:val="00217746"/>
    <w:rsid w:val="00217AB2"/>
    <w:rsid w:val="00217AF2"/>
    <w:rsid w:val="002205A2"/>
    <w:rsid w:val="00220AC4"/>
    <w:rsid w:val="00220BA7"/>
    <w:rsid w:val="0022143E"/>
    <w:rsid w:val="00221811"/>
    <w:rsid w:val="00221BF3"/>
    <w:rsid w:val="00221F44"/>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5DF"/>
    <w:rsid w:val="00232760"/>
    <w:rsid w:val="00232FDB"/>
    <w:rsid w:val="002334F5"/>
    <w:rsid w:val="00233ACC"/>
    <w:rsid w:val="002347AE"/>
    <w:rsid w:val="00234A66"/>
    <w:rsid w:val="00234F81"/>
    <w:rsid w:val="00235102"/>
    <w:rsid w:val="002351BC"/>
    <w:rsid w:val="0023618E"/>
    <w:rsid w:val="002368C7"/>
    <w:rsid w:val="0023698F"/>
    <w:rsid w:val="00236D1B"/>
    <w:rsid w:val="00236F1A"/>
    <w:rsid w:val="00237178"/>
    <w:rsid w:val="00237340"/>
    <w:rsid w:val="0023749A"/>
    <w:rsid w:val="00237557"/>
    <w:rsid w:val="00237817"/>
    <w:rsid w:val="002400C9"/>
    <w:rsid w:val="00240832"/>
    <w:rsid w:val="00241E44"/>
    <w:rsid w:val="00242397"/>
    <w:rsid w:val="00242E5A"/>
    <w:rsid w:val="00242E8D"/>
    <w:rsid w:val="002439B2"/>
    <w:rsid w:val="00243B57"/>
    <w:rsid w:val="00243CF9"/>
    <w:rsid w:val="00243E25"/>
    <w:rsid w:val="0024411C"/>
    <w:rsid w:val="002448EE"/>
    <w:rsid w:val="00244AB3"/>
    <w:rsid w:val="00244B00"/>
    <w:rsid w:val="002456B4"/>
    <w:rsid w:val="00245870"/>
    <w:rsid w:val="0024608D"/>
    <w:rsid w:val="0024620B"/>
    <w:rsid w:val="00246646"/>
    <w:rsid w:val="00246998"/>
    <w:rsid w:val="002469EF"/>
    <w:rsid w:val="00246B23"/>
    <w:rsid w:val="00246BF0"/>
    <w:rsid w:val="002475BC"/>
    <w:rsid w:val="0025003E"/>
    <w:rsid w:val="00250199"/>
    <w:rsid w:val="00250B61"/>
    <w:rsid w:val="0025120C"/>
    <w:rsid w:val="00251B65"/>
    <w:rsid w:val="0025230C"/>
    <w:rsid w:val="002523F9"/>
    <w:rsid w:val="00252FA2"/>
    <w:rsid w:val="0025308B"/>
    <w:rsid w:val="00253321"/>
    <w:rsid w:val="0025467B"/>
    <w:rsid w:val="002546E3"/>
    <w:rsid w:val="002548F6"/>
    <w:rsid w:val="00254D94"/>
    <w:rsid w:val="00255BEC"/>
    <w:rsid w:val="002560DA"/>
    <w:rsid w:val="00256978"/>
    <w:rsid w:val="0025732D"/>
    <w:rsid w:val="0026059E"/>
    <w:rsid w:val="00260C99"/>
    <w:rsid w:val="00260ED4"/>
    <w:rsid w:val="00261009"/>
    <w:rsid w:val="002612A5"/>
    <w:rsid w:val="002619AE"/>
    <w:rsid w:val="00261A4B"/>
    <w:rsid w:val="00262B56"/>
    <w:rsid w:val="00262BF1"/>
    <w:rsid w:val="00263198"/>
    <w:rsid w:val="002632BB"/>
    <w:rsid w:val="00263A65"/>
    <w:rsid w:val="00263F9C"/>
    <w:rsid w:val="00263FE4"/>
    <w:rsid w:val="002644D8"/>
    <w:rsid w:val="00264C27"/>
    <w:rsid w:val="00264D38"/>
    <w:rsid w:val="002658F8"/>
    <w:rsid w:val="00266721"/>
    <w:rsid w:val="0026689B"/>
    <w:rsid w:val="002669BC"/>
    <w:rsid w:val="00266A59"/>
    <w:rsid w:val="00266B19"/>
    <w:rsid w:val="00266DC4"/>
    <w:rsid w:val="00266DCB"/>
    <w:rsid w:val="0026703D"/>
    <w:rsid w:val="002670E8"/>
    <w:rsid w:val="0026727F"/>
    <w:rsid w:val="00267423"/>
    <w:rsid w:val="002674BB"/>
    <w:rsid w:val="002700F7"/>
    <w:rsid w:val="00270236"/>
    <w:rsid w:val="00270281"/>
    <w:rsid w:val="00270CDC"/>
    <w:rsid w:val="00271798"/>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276"/>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505"/>
    <w:rsid w:val="002A0723"/>
    <w:rsid w:val="002A0757"/>
    <w:rsid w:val="002A0A23"/>
    <w:rsid w:val="002A0DAC"/>
    <w:rsid w:val="002A1163"/>
    <w:rsid w:val="002A1985"/>
    <w:rsid w:val="002A1EEE"/>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3E13"/>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15EA"/>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8A6"/>
    <w:rsid w:val="002D0DA3"/>
    <w:rsid w:val="002D0DB8"/>
    <w:rsid w:val="002D0FE1"/>
    <w:rsid w:val="002D1D7B"/>
    <w:rsid w:val="002D28BE"/>
    <w:rsid w:val="002D2F02"/>
    <w:rsid w:val="002D37A0"/>
    <w:rsid w:val="002D41D6"/>
    <w:rsid w:val="002D4680"/>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5EB"/>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4A3"/>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02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6B0"/>
    <w:rsid w:val="003637CF"/>
    <w:rsid w:val="00363F95"/>
    <w:rsid w:val="00364318"/>
    <w:rsid w:val="003644F0"/>
    <w:rsid w:val="0036495E"/>
    <w:rsid w:val="003650DA"/>
    <w:rsid w:val="0036557D"/>
    <w:rsid w:val="00365C92"/>
    <w:rsid w:val="00365E72"/>
    <w:rsid w:val="00366143"/>
    <w:rsid w:val="00366695"/>
    <w:rsid w:val="00366834"/>
    <w:rsid w:val="00367F0D"/>
    <w:rsid w:val="003705BD"/>
    <w:rsid w:val="00370668"/>
    <w:rsid w:val="003707A1"/>
    <w:rsid w:val="00370988"/>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834"/>
    <w:rsid w:val="003B2C00"/>
    <w:rsid w:val="003B2D04"/>
    <w:rsid w:val="003B3027"/>
    <w:rsid w:val="003B3385"/>
    <w:rsid w:val="003B3565"/>
    <w:rsid w:val="003B38F5"/>
    <w:rsid w:val="003B3BDE"/>
    <w:rsid w:val="003B3CB0"/>
    <w:rsid w:val="003B41AB"/>
    <w:rsid w:val="003B4CDC"/>
    <w:rsid w:val="003B558C"/>
    <w:rsid w:val="003B5991"/>
    <w:rsid w:val="003B59BB"/>
    <w:rsid w:val="003B68C6"/>
    <w:rsid w:val="003B6B37"/>
    <w:rsid w:val="003B6CD7"/>
    <w:rsid w:val="003B7016"/>
    <w:rsid w:val="003B7206"/>
    <w:rsid w:val="003B77F2"/>
    <w:rsid w:val="003C04C0"/>
    <w:rsid w:val="003C0FC4"/>
    <w:rsid w:val="003C10EA"/>
    <w:rsid w:val="003C1266"/>
    <w:rsid w:val="003C176E"/>
    <w:rsid w:val="003C2195"/>
    <w:rsid w:val="003C23A8"/>
    <w:rsid w:val="003C28A3"/>
    <w:rsid w:val="003C2E8F"/>
    <w:rsid w:val="003C3071"/>
    <w:rsid w:val="003C32D7"/>
    <w:rsid w:val="003C3342"/>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6B2"/>
    <w:rsid w:val="003D1F62"/>
    <w:rsid w:val="003D2537"/>
    <w:rsid w:val="003D2BB2"/>
    <w:rsid w:val="003D2E5A"/>
    <w:rsid w:val="003D40CD"/>
    <w:rsid w:val="003D43BB"/>
    <w:rsid w:val="003D49FC"/>
    <w:rsid w:val="003D505B"/>
    <w:rsid w:val="003D545E"/>
    <w:rsid w:val="003D5491"/>
    <w:rsid w:val="003D5612"/>
    <w:rsid w:val="003D5BA2"/>
    <w:rsid w:val="003D5EE3"/>
    <w:rsid w:val="003D636D"/>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6F8"/>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51F"/>
    <w:rsid w:val="003F289E"/>
    <w:rsid w:val="003F3709"/>
    <w:rsid w:val="003F3E0A"/>
    <w:rsid w:val="003F3FBE"/>
    <w:rsid w:val="003F44E0"/>
    <w:rsid w:val="003F478C"/>
    <w:rsid w:val="003F4A29"/>
    <w:rsid w:val="003F52AD"/>
    <w:rsid w:val="003F648C"/>
    <w:rsid w:val="003F6878"/>
    <w:rsid w:val="003F699A"/>
    <w:rsid w:val="003F6DC6"/>
    <w:rsid w:val="003F6F33"/>
    <w:rsid w:val="003F72DD"/>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768"/>
    <w:rsid w:val="00411867"/>
    <w:rsid w:val="004119AE"/>
    <w:rsid w:val="00411CC0"/>
    <w:rsid w:val="00411D90"/>
    <w:rsid w:val="00411FE9"/>
    <w:rsid w:val="004121D6"/>
    <w:rsid w:val="00412C6E"/>
    <w:rsid w:val="004132E9"/>
    <w:rsid w:val="0041379D"/>
    <w:rsid w:val="004145DF"/>
    <w:rsid w:val="004148B1"/>
    <w:rsid w:val="00414B8C"/>
    <w:rsid w:val="00414CE9"/>
    <w:rsid w:val="00414FDE"/>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31E"/>
    <w:rsid w:val="00426A70"/>
    <w:rsid w:val="00426FF8"/>
    <w:rsid w:val="0042700E"/>
    <w:rsid w:val="00427043"/>
    <w:rsid w:val="004273DB"/>
    <w:rsid w:val="0042769C"/>
    <w:rsid w:val="00427A8D"/>
    <w:rsid w:val="004300A8"/>
    <w:rsid w:val="004300F3"/>
    <w:rsid w:val="00430387"/>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D16"/>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080"/>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591E"/>
    <w:rsid w:val="004566F8"/>
    <w:rsid w:val="00456E07"/>
    <w:rsid w:val="00457147"/>
    <w:rsid w:val="004574B1"/>
    <w:rsid w:val="004579D7"/>
    <w:rsid w:val="00460790"/>
    <w:rsid w:val="00460B6E"/>
    <w:rsid w:val="00460F5D"/>
    <w:rsid w:val="00460FA9"/>
    <w:rsid w:val="00460FC6"/>
    <w:rsid w:val="0046122A"/>
    <w:rsid w:val="004616DC"/>
    <w:rsid w:val="0046172C"/>
    <w:rsid w:val="00461F9F"/>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526"/>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8F6"/>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4E77"/>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6ED"/>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C29"/>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576B"/>
    <w:rsid w:val="004B6593"/>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063"/>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0ECE"/>
    <w:rsid w:val="004E124A"/>
    <w:rsid w:val="004E139D"/>
    <w:rsid w:val="004E1953"/>
    <w:rsid w:val="004E1983"/>
    <w:rsid w:val="004E1E39"/>
    <w:rsid w:val="004E1EC6"/>
    <w:rsid w:val="004E21E3"/>
    <w:rsid w:val="004E235C"/>
    <w:rsid w:val="004E274D"/>
    <w:rsid w:val="004E2A29"/>
    <w:rsid w:val="004E380F"/>
    <w:rsid w:val="004E49D4"/>
    <w:rsid w:val="004E547E"/>
    <w:rsid w:val="004E5B28"/>
    <w:rsid w:val="004E665D"/>
    <w:rsid w:val="004E6860"/>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BA1"/>
    <w:rsid w:val="00500DB9"/>
    <w:rsid w:val="0050215E"/>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6F11"/>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27F49"/>
    <w:rsid w:val="00530669"/>
    <w:rsid w:val="00530C66"/>
    <w:rsid w:val="00530CBD"/>
    <w:rsid w:val="00530EE9"/>
    <w:rsid w:val="005311EB"/>
    <w:rsid w:val="00531357"/>
    <w:rsid w:val="005313ED"/>
    <w:rsid w:val="0053198E"/>
    <w:rsid w:val="0053292A"/>
    <w:rsid w:val="00533488"/>
    <w:rsid w:val="00533CA6"/>
    <w:rsid w:val="00534210"/>
    <w:rsid w:val="005342AD"/>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7B60"/>
    <w:rsid w:val="00557DA0"/>
    <w:rsid w:val="00560A28"/>
    <w:rsid w:val="005611E2"/>
    <w:rsid w:val="005616E8"/>
    <w:rsid w:val="00561860"/>
    <w:rsid w:val="00561948"/>
    <w:rsid w:val="00562083"/>
    <w:rsid w:val="005623F9"/>
    <w:rsid w:val="00562AEE"/>
    <w:rsid w:val="00562F75"/>
    <w:rsid w:val="00563056"/>
    <w:rsid w:val="0056355F"/>
    <w:rsid w:val="005638FA"/>
    <w:rsid w:val="00563A6D"/>
    <w:rsid w:val="00563C26"/>
    <w:rsid w:val="005643D6"/>
    <w:rsid w:val="0056490C"/>
    <w:rsid w:val="00564938"/>
    <w:rsid w:val="00564E39"/>
    <w:rsid w:val="00564FD0"/>
    <w:rsid w:val="005657E5"/>
    <w:rsid w:val="00565F4A"/>
    <w:rsid w:val="0056612D"/>
    <w:rsid w:val="0056623E"/>
    <w:rsid w:val="00566609"/>
    <w:rsid w:val="0056664B"/>
    <w:rsid w:val="0056690C"/>
    <w:rsid w:val="00566A8D"/>
    <w:rsid w:val="00566B94"/>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A48"/>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3F2"/>
    <w:rsid w:val="00597466"/>
    <w:rsid w:val="005A0701"/>
    <w:rsid w:val="005A0DA6"/>
    <w:rsid w:val="005A12B2"/>
    <w:rsid w:val="005A1835"/>
    <w:rsid w:val="005A1882"/>
    <w:rsid w:val="005A1A85"/>
    <w:rsid w:val="005A24DC"/>
    <w:rsid w:val="005A35B2"/>
    <w:rsid w:val="005A37D5"/>
    <w:rsid w:val="005A3B92"/>
    <w:rsid w:val="005A3D57"/>
    <w:rsid w:val="005A4116"/>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BBE"/>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A6A"/>
    <w:rsid w:val="005F3B57"/>
    <w:rsid w:val="005F3ED8"/>
    <w:rsid w:val="005F406F"/>
    <w:rsid w:val="005F40F2"/>
    <w:rsid w:val="005F43E3"/>
    <w:rsid w:val="005F4402"/>
    <w:rsid w:val="005F4418"/>
    <w:rsid w:val="005F468D"/>
    <w:rsid w:val="005F4DA9"/>
    <w:rsid w:val="005F50B2"/>
    <w:rsid w:val="005F55EA"/>
    <w:rsid w:val="005F5D3B"/>
    <w:rsid w:val="005F601E"/>
    <w:rsid w:val="005F6530"/>
    <w:rsid w:val="005F6929"/>
    <w:rsid w:val="005F6A2B"/>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0D13"/>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2DB"/>
    <w:rsid w:val="00663456"/>
    <w:rsid w:val="006639D7"/>
    <w:rsid w:val="006640B4"/>
    <w:rsid w:val="00664AFE"/>
    <w:rsid w:val="00664BD6"/>
    <w:rsid w:val="00664BE2"/>
    <w:rsid w:val="00664D1C"/>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0C"/>
    <w:rsid w:val="00673AA5"/>
    <w:rsid w:val="00674090"/>
    <w:rsid w:val="00674216"/>
    <w:rsid w:val="00674EDF"/>
    <w:rsid w:val="0067507C"/>
    <w:rsid w:val="006758A4"/>
    <w:rsid w:val="0067600A"/>
    <w:rsid w:val="006760B7"/>
    <w:rsid w:val="006762F6"/>
    <w:rsid w:val="006766CB"/>
    <w:rsid w:val="006767A4"/>
    <w:rsid w:val="0067701A"/>
    <w:rsid w:val="0067756D"/>
    <w:rsid w:val="00677E7B"/>
    <w:rsid w:val="0068035D"/>
    <w:rsid w:val="0068065C"/>
    <w:rsid w:val="006806DC"/>
    <w:rsid w:val="00680835"/>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2091"/>
    <w:rsid w:val="00694163"/>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0C6B"/>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4ED4"/>
    <w:rsid w:val="006B51E5"/>
    <w:rsid w:val="006B553A"/>
    <w:rsid w:val="006B62B9"/>
    <w:rsid w:val="006B6A15"/>
    <w:rsid w:val="006B72D0"/>
    <w:rsid w:val="006B748A"/>
    <w:rsid w:val="006B74F0"/>
    <w:rsid w:val="006B77D1"/>
    <w:rsid w:val="006B7B7F"/>
    <w:rsid w:val="006C02C4"/>
    <w:rsid w:val="006C045B"/>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509"/>
    <w:rsid w:val="006D6C59"/>
    <w:rsid w:val="006D6DAA"/>
    <w:rsid w:val="006D7912"/>
    <w:rsid w:val="006D7C5C"/>
    <w:rsid w:val="006E00FD"/>
    <w:rsid w:val="006E0552"/>
    <w:rsid w:val="006E16AC"/>
    <w:rsid w:val="006E225C"/>
    <w:rsid w:val="006E253A"/>
    <w:rsid w:val="006E26E9"/>
    <w:rsid w:val="006E283A"/>
    <w:rsid w:val="006E291E"/>
    <w:rsid w:val="006E3A03"/>
    <w:rsid w:val="006E3F4F"/>
    <w:rsid w:val="006E421A"/>
    <w:rsid w:val="006E441F"/>
    <w:rsid w:val="006E49B3"/>
    <w:rsid w:val="006E4AF9"/>
    <w:rsid w:val="006E557F"/>
    <w:rsid w:val="006E589E"/>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2F3D"/>
    <w:rsid w:val="007134C5"/>
    <w:rsid w:val="0071428C"/>
    <w:rsid w:val="00714A50"/>
    <w:rsid w:val="007154BA"/>
    <w:rsid w:val="007154F8"/>
    <w:rsid w:val="00715657"/>
    <w:rsid w:val="00715F87"/>
    <w:rsid w:val="00716180"/>
    <w:rsid w:val="007169D0"/>
    <w:rsid w:val="00716FE6"/>
    <w:rsid w:val="00717C27"/>
    <w:rsid w:val="00717D7F"/>
    <w:rsid w:val="00717DD3"/>
    <w:rsid w:val="00717DD5"/>
    <w:rsid w:val="00717EA7"/>
    <w:rsid w:val="007201AD"/>
    <w:rsid w:val="00720A56"/>
    <w:rsid w:val="00720AB1"/>
    <w:rsid w:val="00720C19"/>
    <w:rsid w:val="00720DD7"/>
    <w:rsid w:val="00721108"/>
    <w:rsid w:val="00721546"/>
    <w:rsid w:val="007219CB"/>
    <w:rsid w:val="00721A58"/>
    <w:rsid w:val="00722266"/>
    <w:rsid w:val="00722624"/>
    <w:rsid w:val="00722721"/>
    <w:rsid w:val="007227C8"/>
    <w:rsid w:val="00722BAE"/>
    <w:rsid w:val="00723E41"/>
    <w:rsid w:val="00724F6D"/>
    <w:rsid w:val="00725A1E"/>
    <w:rsid w:val="00725C75"/>
    <w:rsid w:val="007263A0"/>
    <w:rsid w:val="007264EB"/>
    <w:rsid w:val="007265E1"/>
    <w:rsid w:val="0072677A"/>
    <w:rsid w:val="00726B20"/>
    <w:rsid w:val="00726C33"/>
    <w:rsid w:val="0072756C"/>
    <w:rsid w:val="00727AD3"/>
    <w:rsid w:val="00727D73"/>
    <w:rsid w:val="00727D7D"/>
    <w:rsid w:val="00727E5D"/>
    <w:rsid w:val="00727FD5"/>
    <w:rsid w:val="00727FE8"/>
    <w:rsid w:val="00730030"/>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5FCD"/>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25A"/>
    <w:rsid w:val="00754586"/>
    <w:rsid w:val="00754684"/>
    <w:rsid w:val="00754815"/>
    <w:rsid w:val="00754F56"/>
    <w:rsid w:val="00754F76"/>
    <w:rsid w:val="007551BB"/>
    <w:rsid w:val="00755266"/>
    <w:rsid w:val="0075587D"/>
    <w:rsid w:val="007559B1"/>
    <w:rsid w:val="00755D35"/>
    <w:rsid w:val="007563F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2FA5"/>
    <w:rsid w:val="007633A9"/>
    <w:rsid w:val="00763FE6"/>
    <w:rsid w:val="007644F8"/>
    <w:rsid w:val="0076467B"/>
    <w:rsid w:val="0076478E"/>
    <w:rsid w:val="00764F01"/>
    <w:rsid w:val="007650DB"/>
    <w:rsid w:val="0076594E"/>
    <w:rsid w:val="007659DA"/>
    <w:rsid w:val="00765B32"/>
    <w:rsid w:val="00766163"/>
    <w:rsid w:val="0076687C"/>
    <w:rsid w:val="00767146"/>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727"/>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160"/>
    <w:rsid w:val="007873CD"/>
    <w:rsid w:val="007874AB"/>
    <w:rsid w:val="00787B30"/>
    <w:rsid w:val="00787EAD"/>
    <w:rsid w:val="007905B0"/>
    <w:rsid w:val="0079085A"/>
    <w:rsid w:val="00790C01"/>
    <w:rsid w:val="00791361"/>
    <w:rsid w:val="0079138E"/>
    <w:rsid w:val="0079145B"/>
    <w:rsid w:val="00791C14"/>
    <w:rsid w:val="007931DA"/>
    <w:rsid w:val="007934A8"/>
    <w:rsid w:val="007941B7"/>
    <w:rsid w:val="007945E2"/>
    <w:rsid w:val="00795543"/>
    <w:rsid w:val="00795547"/>
    <w:rsid w:val="00795811"/>
    <w:rsid w:val="00795835"/>
    <w:rsid w:val="00795B34"/>
    <w:rsid w:val="00795EF0"/>
    <w:rsid w:val="007968EB"/>
    <w:rsid w:val="007971DC"/>
    <w:rsid w:val="00797354"/>
    <w:rsid w:val="007A0572"/>
    <w:rsid w:val="007A062A"/>
    <w:rsid w:val="007A1591"/>
    <w:rsid w:val="007A17F0"/>
    <w:rsid w:val="007A1C44"/>
    <w:rsid w:val="007A1DEA"/>
    <w:rsid w:val="007A1E11"/>
    <w:rsid w:val="007A2839"/>
    <w:rsid w:val="007A2DE5"/>
    <w:rsid w:val="007A36DC"/>
    <w:rsid w:val="007A39FB"/>
    <w:rsid w:val="007A3C1D"/>
    <w:rsid w:val="007A3FC2"/>
    <w:rsid w:val="007A400F"/>
    <w:rsid w:val="007A4E44"/>
    <w:rsid w:val="007A5D74"/>
    <w:rsid w:val="007A5F0E"/>
    <w:rsid w:val="007A647E"/>
    <w:rsid w:val="007A658E"/>
    <w:rsid w:val="007A77BD"/>
    <w:rsid w:val="007A7A4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771"/>
    <w:rsid w:val="007B6889"/>
    <w:rsid w:val="007B6BD6"/>
    <w:rsid w:val="007B70C3"/>
    <w:rsid w:val="007B71E3"/>
    <w:rsid w:val="007B757A"/>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D24"/>
    <w:rsid w:val="007D2EEE"/>
    <w:rsid w:val="007D3282"/>
    <w:rsid w:val="007D39CC"/>
    <w:rsid w:val="007D4C18"/>
    <w:rsid w:val="007D4F24"/>
    <w:rsid w:val="007D6060"/>
    <w:rsid w:val="007D6B2C"/>
    <w:rsid w:val="007D6C80"/>
    <w:rsid w:val="007D7201"/>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B7C"/>
    <w:rsid w:val="007E4DAD"/>
    <w:rsid w:val="007E4F34"/>
    <w:rsid w:val="007E5B6B"/>
    <w:rsid w:val="007E6136"/>
    <w:rsid w:val="007E65BB"/>
    <w:rsid w:val="007E69F1"/>
    <w:rsid w:val="007E6DD6"/>
    <w:rsid w:val="007E7758"/>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058"/>
    <w:rsid w:val="007F713B"/>
    <w:rsid w:val="00800113"/>
    <w:rsid w:val="00800349"/>
    <w:rsid w:val="00800F26"/>
    <w:rsid w:val="00801A8A"/>
    <w:rsid w:val="008024E7"/>
    <w:rsid w:val="008029D2"/>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0FD8"/>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5FD5"/>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57F"/>
    <w:rsid w:val="00841B9B"/>
    <w:rsid w:val="00841BD2"/>
    <w:rsid w:val="00841CE0"/>
    <w:rsid w:val="00843256"/>
    <w:rsid w:val="00843443"/>
    <w:rsid w:val="00843C0B"/>
    <w:rsid w:val="00843D8D"/>
    <w:rsid w:val="008440E2"/>
    <w:rsid w:val="00844238"/>
    <w:rsid w:val="00844AA7"/>
    <w:rsid w:val="00844D44"/>
    <w:rsid w:val="00844F55"/>
    <w:rsid w:val="008450BB"/>
    <w:rsid w:val="00845AC0"/>
    <w:rsid w:val="00845E24"/>
    <w:rsid w:val="008460D4"/>
    <w:rsid w:val="00846418"/>
    <w:rsid w:val="00846908"/>
    <w:rsid w:val="00846D0F"/>
    <w:rsid w:val="008470F6"/>
    <w:rsid w:val="00847369"/>
    <w:rsid w:val="00847415"/>
    <w:rsid w:val="00847951"/>
    <w:rsid w:val="00847A64"/>
    <w:rsid w:val="00847C73"/>
    <w:rsid w:val="008500F3"/>
    <w:rsid w:val="008507F7"/>
    <w:rsid w:val="00850992"/>
    <w:rsid w:val="00850E1B"/>
    <w:rsid w:val="008513AD"/>
    <w:rsid w:val="00851D55"/>
    <w:rsid w:val="008520EB"/>
    <w:rsid w:val="00852515"/>
    <w:rsid w:val="008528C4"/>
    <w:rsid w:val="00852B99"/>
    <w:rsid w:val="0085338B"/>
    <w:rsid w:val="00853623"/>
    <w:rsid w:val="008543D6"/>
    <w:rsid w:val="008546D0"/>
    <w:rsid w:val="00854BA6"/>
    <w:rsid w:val="00854D1F"/>
    <w:rsid w:val="0085511F"/>
    <w:rsid w:val="00855168"/>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0C0"/>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688C"/>
    <w:rsid w:val="00887597"/>
    <w:rsid w:val="00887B3C"/>
    <w:rsid w:val="00887BC5"/>
    <w:rsid w:val="00887ED9"/>
    <w:rsid w:val="00890682"/>
    <w:rsid w:val="00890796"/>
    <w:rsid w:val="00890941"/>
    <w:rsid w:val="00890D8A"/>
    <w:rsid w:val="00891343"/>
    <w:rsid w:val="00891710"/>
    <w:rsid w:val="00891932"/>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CA8"/>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1DC8"/>
    <w:rsid w:val="008A21EF"/>
    <w:rsid w:val="008A2E74"/>
    <w:rsid w:val="008A3004"/>
    <w:rsid w:val="008A347A"/>
    <w:rsid w:val="008A3A04"/>
    <w:rsid w:val="008A3A21"/>
    <w:rsid w:val="008A4230"/>
    <w:rsid w:val="008A4401"/>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24B"/>
    <w:rsid w:val="008B560A"/>
    <w:rsid w:val="008B56AD"/>
    <w:rsid w:val="008B5770"/>
    <w:rsid w:val="008B591E"/>
    <w:rsid w:val="008B5D84"/>
    <w:rsid w:val="008B6809"/>
    <w:rsid w:val="008B6AB3"/>
    <w:rsid w:val="008B761D"/>
    <w:rsid w:val="008B7F95"/>
    <w:rsid w:val="008C0112"/>
    <w:rsid w:val="008C0713"/>
    <w:rsid w:val="008C0757"/>
    <w:rsid w:val="008C0EA3"/>
    <w:rsid w:val="008C1F3D"/>
    <w:rsid w:val="008C29B2"/>
    <w:rsid w:val="008C2A30"/>
    <w:rsid w:val="008C2F86"/>
    <w:rsid w:val="008C318E"/>
    <w:rsid w:val="008C43DC"/>
    <w:rsid w:val="008C4556"/>
    <w:rsid w:val="008C5249"/>
    <w:rsid w:val="008C55B8"/>
    <w:rsid w:val="008C5989"/>
    <w:rsid w:val="008C5A29"/>
    <w:rsid w:val="008C5E0A"/>
    <w:rsid w:val="008C681E"/>
    <w:rsid w:val="008C6CB3"/>
    <w:rsid w:val="008C7085"/>
    <w:rsid w:val="008C78B4"/>
    <w:rsid w:val="008C7B48"/>
    <w:rsid w:val="008D0344"/>
    <w:rsid w:val="008D0628"/>
    <w:rsid w:val="008D069B"/>
    <w:rsid w:val="008D06D7"/>
    <w:rsid w:val="008D0A37"/>
    <w:rsid w:val="008D0F7E"/>
    <w:rsid w:val="008D1902"/>
    <w:rsid w:val="008D1E3D"/>
    <w:rsid w:val="008D21C8"/>
    <w:rsid w:val="008D2562"/>
    <w:rsid w:val="008D3329"/>
    <w:rsid w:val="008D34B2"/>
    <w:rsid w:val="008D4481"/>
    <w:rsid w:val="008D4511"/>
    <w:rsid w:val="008D453E"/>
    <w:rsid w:val="008D46FA"/>
    <w:rsid w:val="008D50FA"/>
    <w:rsid w:val="008D5912"/>
    <w:rsid w:val="008D66CE"/>
    <w:rsid w:val="008D6A13"/>
    <w:rsid w:val="008D6CFE"/>
    <w:rsid w:val="008D6D10"/>
    <w:rsid w:val="008D6E01"/>
    <w:rsid w:val="008D745B"/>
    <w:rsid w:val="008D74AF"/>
    <w:rsid w:val="008D7571"/>
    <w:rsid w:val="008D79BF"/>
    <w:rsid w:val="008E02F9"/>
    <w:rsid w:val="008E0408"/>
    <w:rsid w:val="008E0A1A"/>
    <w:rsid w:val="008E0D1F"/>
    <w:rsid w:val="008E102C"/>
    <w:rsid w:val="008E1044"/>
    <w:rsid w:val="008E139E"/>
    <w:rsid w:val="008E1E9B"/>
    <w:rsid w:val="008E27B8"/>
    <w:rsid w:val="008E27F5"/>
    <w:rsid w:val="008E2A73"/>
    <w:rsid w:val="008E2AE3"/>
    <w:rsid w:val="008E2E28"/>
    <w:rsid w:val="008E2F6B"/>
    <w:rsid w:val="008E34BD"/>
    <w:rsid w:val="008E3A7B"/>
    <w:rsid w:val="008E3AC6"/>
    <w:rsid w:val="008E620F"/>
    <w:rsid w:val="008E6431"/>
    <w:rsid w:val="008E6476"/>
    <w:rsid w:val="008E67FA"/>
    <w:rsid w:val="008E68E4"/>
    <w:rsid w:val="008F0AC0"/>
    <w:rsid w:val="008F0B9B"/>
    <w:rsid w:val="008F1F6C"/>
    <w:rsid w:val="008F2155"/>
    <w:rsid w:val="008F2450"/>
    <w:rsid w:val="008F246B"/>
    <w:rsid w:val="008F26D3"/>
    <w:rsid w:val="008F26E6"/>
    <w:rsid w:val="008F32C8"/>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70D"/>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974"/>
    <w:rsid w:val="00924B81"/>
    <w:rsid w:val="009250A4"/>
    <w:rsid w:val="00925C6A"/>
    <w:rsid w:val="0092655D"/>
    <w:rsid w:val="00926617"/>
    <w:rsid w:val="0092674C"/>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715"/>
    <w:rsid w:val="00934C4B"/>
    <w:rsid w:val="00935BEA"/>
    <w:rsid w:val="00935EEE"/>
    <w:rsid w:val="00936579"/>
    <w:rsid w:val="00936DC6"/>
    <w:rsid w:val="00936E0C"/>
    <w:rsid w:val="00936F0E"/>
    <w:rsid w:val="00937900"/>
    <w:rsid w:val="00937940"/>
    <w:rsid w:val="00937A35"/>
    <w:rsid w:val="00937D45"/>
    <w:rsid w:val="009403FD"/>
    <w:rsid w:val="009409E0"/>
    <w:rsid w:val="00940E62"/>
    <w:rsid w:val="00941431"/>
    <w:rsid w:val="00941685"/>
    <w:rsid w:val="00941A6B"/>
    <w:rsid w:val="00941F2C"/>
    <w:rsid w:val="009420A9"/>
    <w:rsid w:val="00942344"/>
    <w:rsid w:val="00942411"/>
    <w:rsid w:val="0094268E"/>
    <w:rsid w:val="00942BA0"/>
    <w:rsid w:val="00942C60"/>
    <w:rsid w:val="00943168"/>
    <w:rsid w:val="009431DF"/>
    <w:rsid w:val="00943DBF"/>
    <w:rsid w:val="009440C8"/>
    <w:rsid w:val="009440D1"/>
    <w:rsid w:val="0094464D"/>
    <w:rsid w:val="009449F9"/>
    <w:rsid w:val="00944AA8"/>
    <w:rsid w:val="00944C10"/>
    <w:rsid w:val="00944CEB"/>
    <w:rsid w:val="00944F6F"/>
    <w:rsid w:val="00945903"/>
    <w:rsid w:val="00945BA0"/>
    <w:rsid w:val="00945C16"/>
    <w:rsid w:val="00945F1C"/>
    <w:rsid w:val="00945F73"/>
    <w:rsid w:val="00945FE8"/>
    <w:rsid w:val="00945FED"/>
    <w:rsid w:val="00947879"/>
    <w:rsid w:val="009478D8"/>
    <w:rsid w:val="00947A72"/>
    <w:rsid w:val="00947B77"/>
    <w:rsid w:val="00947C1D"/>
    <w:rsid w:val="00950515"/>
    <w:rsid w:val="0095091D"/>
    <w:rsid w:val="00950BC7"/>
    <w:rsid w:val="009512C9"/>
    <w:rsid w:val="009515D4"/>
    <w:rsid w:val="0095178E"/>
    <w:rsid w:val="00951865"/>
    <w:rsid w:val="00951F19"/>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9B5"/>
    <w:rsid w:val="00957EDA"/>
    <w:rsid w:val="00957EEC"/>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8CB"/>
    <w:rsid w:val="00987BA9"/>
    <w:rsid w:val="009903E8"/>
    <w:rsid w:val="0099088E"/>
    <w:rsid w:val="0099116E"/>
    <w:rsid w:val="009913A2"/>
    <w:rsid w:val="009914AF"/>
    <w:rsid w:val="00991849"/>
    <w:rsid w:val="009919DC"/>
    <w:rsid w:val="00991BA8"/>
    <w:rsid w:val="00991BEA"/>
    <w:rsid w:val="00992064"/>
    <w:rsid w:val="009920A2"/>
    <w:rsid w:val="00992E7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5F33"/>
    <w:rsid w:val="009A6682"/>
    <w:rsid w:val="009A66B5"/>
    <w:rsid w:val="009A6ADB"/>
    <w:rsid w:val="009A6C6B"/>
    <w:rsid w:val="009A6D7F"/>
    <w:rsid w:val="009A718D"/>
    <w:rsid w:val="009A7DB5"/>
    <w:rsid w:val="009A7E8C"/>
    <w:rsid w:val="009B0001"/>
    <w:rsid w:val="009B063F"/>
    <w:rsid w:val="009B0AB4"/>
    <w:rsid w:val="009B1FC7"/>
    <w:rsid w:val="009B2466"/>
    <w:rsid w:val="009B2721"/>
    <w:rsid w:val="009B2B2B"/>
    <w:rsid w:val="009B2CDC"/>
    <w:rsid w:val="009B3028"/>
    <w:rsid w:val="009B3362"/>
    <w:rsid w:val="009B452B"/>
    <w:rsid w:val="009B46B5"/>
    <w:rsid w:val="009B4B93"/>
    <w:rsid w:val="009B4E0E"/>
    <w:rsid w:val="009B5583"/>
    <w:rsid w:val="009B5A61"/>
    <w:rsid w:val="009B63A0"/>
    <w:rsid w:val="009B6688"/>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7F2"/>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6DFA"/>
    <w:rsid w:val="009D7B9F"/>
    <w:rsid w:val="009D7F6C"/>
    <w:rsid w:val="009E054B"/>
    <w:rsid w:val="009E0692"/>
    <w:rsid w:val="009E0E35"/>
    <w:rsid w:val="009E0F55"/>
    <w:rsid w:val="009E1649"/>
    <w:rsid w:val="009E16AB"/>
    <w:rsid w:val="009E1B70"/>
    <w:rsid w:val="009E1BDF"/>
    <w:rsid w:val="009E2228"/>
    <w:rsid w:val="009E23A4"/>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9A7"/>
    <w:rsid w:val="009F333B"/>
    <w:rsid w:val="009F34C0"/>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0900"/>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482"/>
    <w:rsid w:val="00A1360B"/>
    <w:rsid w:val="00A136D0"/>
    <w:rsid w:val="00A13865"/>
    <w:rsid w:val="00A1392C"/>
    <w:rsid w:val="00A13B0C"/>
    <w:rsid w:val="00A1424F"/>
    <w:rsid w:val="00A14589"/>
    <w:rsid w:val="00A1464E"/>
    <w:rsid w:val="00A14C80"/>
    <w:rsid w:val="00A15212"/>
    <w:rsid w:val="00A169EC"/>
    <w:rsid w:val="00A16E7F"/>
    <w:rsid w:val="00A16FCB"/>
    <w:rsid w:val="00A17084"/>
    <w:rsid w:val="00A178F9"/>
    <w:rsid w:val="00A1792F"/>
    <w:rsid w:val="00A17EEE"/>
    <w:rsid w:val="00A20745"/>
    <w:rsid w:val="00A2078A"/>
    <w:rsid w:val="00A20DD0"/>
    <w:rsid w:val="00A20FA9"/>
    <w:rsid w:val="00A217B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8A5"/>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4CD"/>
    <w:rsid w:val="00A375FB"/>
    <w:rsid w:val="00A406B7"/>
    <w:rsid w:val="00A40F4D"/>
    <w:rsid w:val="00A4122B"/>
    <w:rsid w:val="00A4170D"/>
    <w:rsid w:val="00A41937"/>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3E9"/>
    <w:rsid w:val="00A87561"/>
    <w:rsid w:val="00A87913"/>
    <w:rsid w:val="00A87C33"/>
    <w:rsid w:val="00A87E22"/>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B4F"/>
    <w:rsid w:val="00AA1D10"/>
    <w:rsid w:val="00AA1E51"/>
    <w:rsid w:val="00AA1E6F"/>
    <w:rsid w:val="00AA267D"/>
    <w:rsid w:val="00AA2712"/>
    <w:rsid w:val="00AA28D9"/>
    <w:rsid w:val="00AA2A21"/>
    <w:rsid w:val="00AA2C9B"/>
    <w:rsid w:val="00AA2E5A"/>
    <w:rsid w:val="00AA36FE"/>
    <w:rsid w:val="00AA389D"/>
    <w:rsid w:val="00AA38A5"/>
    <w:rsid w:val="00AA39B9"/>
    <w:rsid w:val="00AA3F71"/>
    <w:rsid w:val="00AA436C"/>
    <w:rsid w:val="00AA48E1"/>
    <w:rsid w:val="00AA490B"/>
    <w:rsid w:val="00AA4C84"/>
    <w:rsid w:val="00AA4CB7"/>
    <w:rsid w:val="00AA51F3"/>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EF8"/>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41F"/>
    <w:rsid w:val="00AC0850"/>
    <w:rsid w:val="00AC08BC"/>
    <w:rsid w:val="00AC1062"/>
    <w:rsid w:val="00AC1139"/>
    <w:rsid w:val="00AC1835"/>
    <w:rsid w:val="00AC1D99"/>
    <w:rsid w:val="00AC1F02"/>
    <w:rsid w:val="00AC354F"/>
    <w:rsid w:val="00AC380E"/>
    <w:rsid w:val="00AC3CE3"/>
    <w:rsid w:val="00AC461C"/>
    <w:rsid w:val="00AC499F"/>
    <w:rsid w:val="00AC4BD8"/>
    <w:rsid w:val="00AC4C62"/>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8A"/>
    <w:rsid w:val="00AD7595"/>
    <w:rsid w:val="00AD7CB7"/>
    <w:rsid w:val="00AE0382"/>
    <w:rsid w:val="00AE0568"/>
    <w:rsid w:val="00AE0BAD"/>
    <w:rsid w:val="00AE0FAE"/>
    <w:rsid w:val="00AE0FEB"/>
    <w:rsid w:val="00AE1465"/>
    <w:rsid w:val="00AE1D49"/>
    <w:rsid w:val="00AE208A"/>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2EBD"/>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A6B"/>
    <w:rsid w:val="00B02F6F"/>
    <w:rsid w:val="00B04F8C"/>
    <w:rsid w:val="00B050E4"/>
    <w:rsid w:val="00B051CB"/>
    <w:rsid w:val="00B05DD3"/>
    <w:rsid w:val="00B05EA9"/>
    <w:rsid w:val="00B07D79"/>
    <w:rsid w:val="00B07D9B"/>
    <w:rsid w:val="00B07EF7"/>
    <w:rsid w:val="00B1039B"/>
    <w:rsid w:val="00B10432"/>
    <w:rsid w:val="00B10D2C"/>
    <w:rsid w:val="00B10D96"/>
    <w:rsid w:val="00B1111C"/>
    <w:rsid w:val="00B115A1"/>
    <w:rsid w:val="00B11678"/>
    <w:rsid w:val="00B11C49"/>
    <w:rsid w:val="00B1213C"/>
    <w:rsid w:val="00B12392"/>
    <w:rsid w:val="00B123DF"/>
    <w:rsid w:val="00B125E0"/>
    <w:rsid w:val="00B1292A"/>
    <w:rsid w:val="00B1297F"/>
    <w:rsid w:val="00B13320"/>
    <w:rsid w:val="00B139A6"/>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17DE0"/>
    <w:rsid w:val="00B2049C"/>
    <w:rsid w:val="00B2102D"/>
    <w:rsid w:val="00B2166A"/>
    <w:rsid w:val="00B2176A"/>
    <w:rsid w:val="00B2181E"/>
    <w:rsid w:val="00B22488"/>
    <w:rsid w:val="00B2276A"/>
    <w:rsid w:val="00B234C4"/>
    <w:rsid w:val="00B240B2"/>
    <w:rsid w:val="00B241D5"/>
    <w:rsid w:val="00B25644"/>
    <w:rsid w:val="00B257AE"/>
    <w:rsid w:val="00B257F9"/>
    <w:rsid w:val="00B26C5E"/>
    <w:rsid w:val="00B27005"/>
    <w:rsid w:val="00B2706D"/>
    <w:rsid w:val="00B275EE"/>
    <w:rsid w:val="00B30F88"/>
    <w:rsid w:val="00B31918"/>
    <w:rsid w:val="00B32272"/>
    <w:rsid w:val="00B3323A"/>
    <w:rsid w:val="00B33437"/>
    <w:rsid w:val="00B3347C"/>
    <w:rsid w:val="00B335EB"/>
    <w:rsid w:val="00B3366D"/>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05C5"/>
    <w:rsid w:val="00B412E2"/>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74CA"/>
    <w:rsid w:val="00B47AAB"/>
    <w:rsid w:val="00B503F6"/>
    <w:rsid w:val="00B50569"/>
    <w:rsid w:val="00B50D59"/>
    <w:rsid w:val="00B50F0F"/>
    <w:rsid w:val="00B511AE"/>
    <w:rsid w:val="00B5170A"/>
    <w:rsid w:val="00B517B9"/>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1BF"/>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0F0D"/>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0F2"/>
    <w:rsid w:val="00B922B4"/>
    <w:rsid w:val="00B92A6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A7F9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87"/>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CBB"/>
    <w:rsid w:val="00BE6EAD"/>
    <w:rsid w:val="00BE6EDD"/>
    <w:rsid w:val="00BE712C"/>
    <w:rsid w:val="00BE78E4"/>
    <w:rsid w:val="00BF1024"/>
    <w:rsid w:val="00BF1448"/>
    <w:rsid w:val="00BF184C"/>
    <w:rsid w:val="00BF1B76"/>
    <w:rsid w:val="00BF1C71"/>
    <w:rsid w:val="00BF262D"/>
    <w:rsid w:val="00BF2796"/>
    <w:rsid w:val="00BF2A21"/>
    <w:rsid w:val="00BF2D6E"/>
    <w:rsid w:val="00BF2EA7"/>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394"/>
    <w:rsid w:val="00C0070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6AA0"/>
    <w:rsid w:val="00C06C57"/>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30D"/>
    <w:rsid w:val="00C148FA"/>
    <w:rsid w:val="00C14BA0"/>
    <w:rsid w:val="00C14E24"/>
    <w:rsid w:val="00C14FC9"/>
    <w:rsid w:val="00C154B8"/>
    <w:rsid w:val="00C15C85"/>
    <w:rsid w:val="00C162A9"/>
    <w:rsid w:val="00C1639A"/>
    <w:rsid w:val="00C1649F"/>
    <w:rsid w:val="00C164BA"/>
    <w:rsid w:val="00C16906"/>
    <w:rsid w:val="00C16B9E"/>
    <w:rsid w:val="00C17D6D"/>
    <w:rsid w:val="00C204D3"/>
    <w:rsid w:val="00C204F9"/>
    <w:rsid w:val="00C208D2"/>
    <w:rsid w:val="00C208F7"/>
    <w:rsid w:val="00C20DB4"/>
    <w:rsid w:val="00C21521"/>
    <w:rsid w:val="00C21AD8"/>
    <w:rsid w:val="00C21C69"/>
    <w:rsid w:val="00C21C96"/>
    <w:rsid w:val="00C2244F"/>
    <w:rsid w:val="00C22657"/>
    <w:rsid w:val="00C22C19"/>
    <w:rsid w:val="00C22C6D"/>
    <w:rsid w:val="00C23047"/>
    <w:rsid w:val="00C230DF"/>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6DF2"/>
    <w:rsid w:val="00C372C5"/>
    <w:rsid w:val="00C37719"/>
    <w:rsid w:val="00C37927"/>
    <w:rsid w:val="00C379D9"/>
    <w:rsid w:val="00C37A1B"/>
    <w:rsid w:val="00C37E1C"/>
    <w:rsid w:val="00C37FF9"/>
    <w:rsid w:val="00C40520"/>
    <w:rsid w:val="00C40CE3"/>
    <w:rsid w:val="00C4175A"/>
    <w:rsid w:val="00C42FF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552"/>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B48"/>
    <w:rsid w:val="00C62E03"/>
    <w:rsid w:val="00C630F5"/>
    <w:rsid w:val="00C63337"/>
    <w:rsid w:val="00C6381C"/>
    <w:rsid w:val="00C63A80"/>
    <w:rsid w:val="00C6403E"/>
    <w:rsid w:val="00C641FD"/>
    <w:rsid w:val="00C642B3"/>
    <w:rsid w:val="00C6482B"/>
    <w:rsid w:val="00C64970"/>
    <w:rsid w:val="00C65612"/>
    <w:rsid w:val="00C6577B"/>
    <w:rsid w:val="00C659CE"/>
    <w:rsid w:val="00C66254"/>
    <w:rsid w:val="00C664EF"/>
    <w:rsid w:val="00C668C8"/>
    <w:rsid w:val="00C67579"/>
    <w:rsid w:val="00C70A84"/>
    <w:rsid w:val="00C71294"/>
    <w:rsid w:val="00C71461"/>
    <w:rsid w:val="00C715D9"/>
    <w:rsid w:val="00C720A5"/>
    <w:rsid w:val="00C72704"/>
    <w:rsid w:val="00C727E9"/>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3A9E"/>
    <w:rsid w:val="00CA4076"/>
    <w:rsid w:val="00CA4245"/>
    <w:rsid w:val="00CA48CE"/>
    <w:rsid w:val="00CA57A4"/>
    <w:rsid w:val="00CA5A3F"/>
    <w:rsid w:val="00CA61ED"/>
    <w:rsid w:val="00CA63C1"/>
    <w:rsid w:val="00CA65FC"/>
    <w:rsid w:val="00CA6738"/>
    <w:rsid w:val="00CA6ACD"/>
    <w:rsid w:val="00CA7011"/>
    <w:rsid w:val="00CA714C"/>
    <w:rsid w:val="00CA74EF"/>
    <w:rsid w:val="00CA784E"/>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1FB5"/>
    <w:rsid w:val="00CC2092"/>
    <w:rsid w:val="00CC253A"/>
    <w:rsid w:val="00CC26A4"/>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4F2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5DF4"/>
    <w:rsid w:val="00CE67C2"/>
    <w:rsid w:val="00CE6E42"/>
    <w:rsid w:val="00CE6ECA"/>
    <w:rsid w:val="00CE703B"/>
    <w:rsid w:val="00CE70CD"/>
    <w:rsid w:val="00CE7155"/>
    <w:rsid w:val="00CE7211"/>
    <w:rsid w:val="00CE745B"/>
    <w:rsid w:val="00CE792C"/>
    <w:rsid w:val="00CF02F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226"/>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2B"/>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E68"/>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0D93"/>
    <w:rsid w:val="00D41064"/>
    <w:rsid w:val="00D4134D"/>
    <w:rsid w:val="00D41437"/>
    <w:rsid w:val="00D4181F"/>
    <w:rsid w:val="00D4191B"/>
    <w:rsid w:val="00D41CE5"/>
    <w:rsid w:val="00D41D63"/>
    <w:rsid w:val="00D4210F"/>
    <w:rsid w:val="00D4253D"/>
    <w:rsid w:val="00D430EC"/>
    <w:rsid w:val="00D4335D"/>
    <w:rsid w:val="00D435FD"/>
    <w:rsid w:val="00D43AD7"/>
    <w:rsid w:val="00D43DAC"/>
    <w:rsid w:val="00D4445D"/>
    <w:rsid w:val="00D44663"/>
    <w:rsid w:val="00D44B97"/>
    <w:rsid w:val="00D44CDA"/>
    <w:rsid w:val="00D44DF3"/>
    <w:rsid w:val="00D45D3B"/>
    <w:rsid w:val="00D45FAD"/>
    <w:rsid w:val="00D46363"/>
    <w:rsid w:val="00D466E4"/>
    <w:rsid w:val="00D46F9C"/>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6A4"/>
    <w:rsid w:val="00D6570A"/>
    <w:rsid w:val="00D66372"/>
    <w:rsid w:val="00D66509"/>
    <w:rsid w:val="00D666DF"/>
    <w:rsid w:val="00D66D81"/>
    <w:rsid w:val="00D66D90"/>
    <w:rsid w:val="00D67369"/>
    <w:rsid w:val="00D6746C"/>
    <w:rsid w:val="00D67B7C"/>
    <w:rsid w:val="00D703F7"/>
    <w:rsid w:val="00D70A36"/>
    <w:rsid w:val="00D716C8"/>
    <w:rsid w:val="00D71709"/>
    <w:rsid w:val="00D71CED"/>
    <w:rsid w:val="00D71D04"/>
    <w:rsid w:val="00D71EBF"/>
    <w:rsid w:val="00D73BFE"/>
    <w:rsid w:val="00D73D1E"/>
    <w:rsid w:val="00D73FDF"/>
    <w:rsid w:val="00D74854"/>
    <w:rsid w:val="00D74E11"/>
    <w:rsid w:val="00D7519F"/>
    <w:rsid w:val="00D752BA"/>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D24"/>
    <w:rsid w:val="00D91F59"/>
    <w:rsid w:val="00D92470"/>
    <w:rsid w:val="00D926A7"/>
    <w:rsid w:val="00D928B3"/>
    <w:rsid w:val="00D92CDF"/>
    <w:rsid w:val="00D92F93"/>
    <w:rsid w:val="00D93938"/>
    <w:rsid w:val="00D93BE8"/>
    <w:rsid w:val="00D94546"/>
    <w:rsid w:val="00D94C37"/>
    <w:rsid w:val="00D952B6"/>
    <w:rsid w:val="00D95447"/>
    <w:rsid w:val="00D9593E"/>
    <w:rsid w:val="00D96130"/>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3D1"/>
    <w:rsid w:val="00DB56A2"/>
    <w:rsid w:val="00DB6084"/>
    <w:rsid w:val="00DB6139"/>
    <w:rsid w:val="00DB6C89"/>
    <w:rsid w:val="00DB7090"/>
    <w:rsid w:val="00DB70C4"/>
    <w:rsid w:val="00DB74CF"/>
    <w:rsid w:val="00DB7A56"/>
    <w:rsid w:val="00DB7B03"/>
    <w:rsid w:val="00DC1C3B"/>
    <w:rsid w:val="00DC21D9"/>
    <w:rsid w:val="00DC23D4"/>
    <w:rsid w:val="00DC25C2"/>
    <w:rsid w:val="00DC28D0"/>
    <w:rsid w:val="00DC2E45"/>
    <w:rsid w:val="00DC343D"/>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54F"/>
    <w:rsid w:val="00DD1A16"/>
    <w:rsid w:val="00DD1B10"/>
    <w:rsid w:val="00DD1BCA"/>
    <w:rsid w:val="00DD2F24"/>
    <w:rsid w:val="00DD3B70"/>
    <w:rsid w:val="00DD3C64"/>
    <w:rsid w:val="00DD47F9"/>
    <w:rsid w:val="00DD4BBE"/>
    <w:rsid w:val="00DD4BE2"/>
    <w:rsid w:val="00DD52E6"/>
    <w:rsid w:val="00DD54A7"/>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90B"/>
    <w:rsid w:val="00DE2C26"/>
    <w:rsid w:val="00DE2D6E"/>
    <w:rsid w:val="00DE33C5"/>
    <w:rsid w:val="00DE3471"/>
    <w:rsid w:val="00DE39FE"/>
    <w:rsid w:val="00DE3CEB"/>
    <w:rsid w:val="00DE47C6"/>
    <w:rsid w:val="00DE4875"/>
    <w:rsid w:val="00DE51BA"/>
    <w:rsid w:val="00DE51FB"/>
    <w:rsid w:val="00DE5785"/>
    <w:rsid w:val="00DE61E7"/>
    <w:rsid w:val="00DE64CE"/>
    <w:rsid w:val="00DE7008"/>
    <w:rsid w:val="00DE72FB"/>
    <w:rsid w:val="00DE735F"/>
    <w:rsid w:val="00DF04B8"/>
    <w:rsid w:val="00DF0BFB"/>
    <w:rsid w:val="00DF0E50"/>
    <w:rsid w:val="00DF1249"/>
    <w:rsid w:val="00DF16AE"/>
    <w:rsid w:val="00DF1755"/>
    <w:rsid w:val="00DF1A44"/>
    <w:rsid w:val="00DF1F60"/>
    <w:rsid w:val="00DF2CE0"/>
    <w:rsid w:val="00DF2F94"/>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0EE"/>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1BA"/>
    <w:rsid w:val="00E301D8"/>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0FFC"/>
    <w:rsid w:val="00E410D6"/>
    <w:rsid w:val="00E41126"/>
    <w:rsid w:val="00E41B27"/>
    <w:rsid w:val="00E41CD2"/>
    <w:rsid w:val="00E41F68"/>
    <w:rsid w:val="00E42248"/>
    <w:rsid w:val="00E42B0F"/>
    <w:rsid w:val="00E4321F"/>
    <w:rsid w:val="00E4341A"/>
    <w:rsid w:val="00E43BEB"/>
    <w:rsid w:val="00E43D56"/>
    <w:rsid w:val="00E43D81"/>
    <w:rsid w:val="00E4483F"/>
    <w:rsid w:val="00E44D12"/>
    <w:rsid w:val="00E44E7C"/>
    <w:rsid w:val="00E44E80"/>
    <w:rsid w:val="00E44FD7"/>
    <w:rsid w:val="00E4504D"/>
    <w:rsid w:val="00E45979"/>
    <w:rsid w:val="00E45EB2"/>
    <w:rsid w:val="00E46769"/>
    <w:rsid w:val="00E47213"/>
    <w:rsid w:val="00E47239"/>
    <w:rsid w:val="00E475FB"/>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658D"/>
    <w:rsid w:val="00E76778"/>
    <w:rsid w:val="00E772F1"/>
    <w:rsid w:val="00E778B3"/>
    <w:rsid w:val="00E77928"/>
    <w:rsid w:val="00E77C43"/>
    <w:rsid w:val="00E77E49"/>
    <w:rsid w:val="00E77F79"/>
    <w:rsid w:val="00E80A94"/>
    <w:rsid w:val="00E80DCA"/>
    <w:rsid w:val="00E815B1"/>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806"/>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4D5F"/>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BEA"/>
    <w:rsid w:val="00ED1CBD"/>
    <w:rsid w:val="00ED2116"/>
    <w:rsid w:val="00ED2223"/>
    <w:rsid w:val="00ED224B"/>
    <w:rsid w:val="00ED2263"/>
    <w:rsid w:val="00ED245C"/>
    <w:rsid w:val="00ED26BE"/>
    <w:rsid w:val="00ED2E2F"/>
    <w:rsid w:val="00ED3026"/>
    <w:rsid w:val="00ED31B3"/>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49D"/>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74C"/>
    <w:rsid w:val="00EF1F9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117"/>
    <w:rsid w:val="00F00850"/>
    <w:rsid w:val="00F00CB4"/>
    <w:rsid w:val="00F00E67"/>
    <w:rsid w:val="00F019A7"/>
    <w:rsid w:val="00F02448"/>
    <w:rsid w:val="00F0283F"/>
    <w:rsid w:val="00F0298A"/>
    <w:rsid w:val="00F029C6"/>
    <w:rsid w:val="00F02FC0"/>
    <w:rsid w:val="00F03347"/>
    <w:rsid w:val="00F03C7D"/>
    <w:rsid w:val="00F03EAB"/>
    <w:rsid w:val="00F0440C"/>
    <w:rsid w:val="00F04839"/>
    <w:rsid w:val="00F0491F"/>
    <w:rsid w:val="00F053E6"/>
    <w:rsid w:val="00F06AA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6C90"/>
    <w:rsid w:val="00F170F3"/>
    <w:rsid w:val="00F174D5"/>
    <w:rsid w:val="00F1791F"/>
    <w:rsid w:val="00F2012A"/>
    <w:rsid w:val="00F20A05"/>
    <w:rsid w:val="00F20AB0"/>
    <w:rsid w:val="00F20B1E"/>
    <w:rsid w:val="00F21EC4"/>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1D51"/>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2F88"/>
    <w:rsid w:val="00F5325F"/>
    <w:rsid w:val="00F537BC"/>
    <w:rsid w:val="00F53E54"/>
    <w:rsid w:val="00F547A7"/>
    <w:rsid w:val="00F55596"/>
    <w:rsid w:val="00F55880"/>
    <w:rsid w:val="00F56361"/>
    <w:rsid w:val="00F56779"/>
    <w:rsid w:val="00F570DA"/>
    <w:rsid w:val="00F57B5A"/>
    <w:rsid w:val="00F600E5"/>
    <w:rsid w:val="00F60286"/>
    <w:rsid w:val="00F6072D"/>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49A"/>
    <w:rsid w:val="00F73D03"/>
    <w:rsid w:val="00F74887"/>
    <w:rsid w:val="00F749A2"/>
    <w:rsid w:val="00F75294"/>
    <w:rsid w:val="00F76348"/>
    <w:rsid w:val="00F763E7"/>
    <w:rsid w:val="00F76C3E"/>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EC8"/>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900"/>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1B6B"/>
    <w:rsid w:val="00FC2C71"/>
    <w:rsid w:val="00FC2D10"/>
    <w:rsid w:val="00FC3008"/>
    <w:rsid w:val="00FC3731"/>
    <w:rsid w:val="00FC3A19"/>
    <w:rsid w:val="00FC411B"/>
    <w:rsid w:val="00FC421D"/>
    <w:rsid w:val="00FC4D8D"/>
    <w:rsid w:val="00FC4FD7"/>
    <w:rsid w:val="00FC5B8B"/>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691"/>
    <w:rsid w:val="00FD1C72"/>
    <w:rsid w:val="00FD2187"/>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80E"/>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29C9"/>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21D9"/>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 w:type="paragraph" w:customStyle="1" w:styleId="Proposal">
    <w:name w:val="Proposal"/>
    <w:basedOn w:val="Normal"/>
    <w:rsid w:val="00991849"/>
    <w:pPr>
      <w:tabs>
        <w:tab w:val="left" w:pos="1701"/>
      </w:tabs>
      <w:spacing w:after="180"/>
      <w:ind w:left="1701" w:hanging="1701"/>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1006292">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70274372">
      <w:bodyDiv w:val="1"/>
      <w:marLeft w:val="0"/>
      <w:marRight w:val="0"/>
      <w:marTop w:val="0"/>
      <w:marBottom w:val="0"/>
      <w:divBdr>
        <w:top w:val="none" w:sz="0" w:space="0" w:color="auto"/>
        <w:left w:val="none" w:sz="0" w:space="0" w:color="auto"/>
        <w:bottom w:val="none" w:sz="0" w:space="0" w:color="auto"/>
        <w:right w:val="none" w:sz="0" w:space="0" w:color="auto"/>
      </w:divBdr>
    </w:div>
    <w:div w:id="93016319">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166907">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8414635">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044281">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88130144">
      <w:bodyDiv w:val="1"/>
      <w:marLeft w:val="0"/>
      <w:marRight w:val="0"/>
      <w:marTop w:val="0"/>
      <w:marBottom w:val="0"/>
      <w:divBdr>
        <w:top w:val="none" w:sz="0" w:space="0" w:color="auto"/>
        <w:left w:val="none" w:sz="0" w:space="0" w:color="auto"/>
        <w:bottom w:val="none" w:sz="0" w:space="0" w:color="auto"/>
        <w:right w:val="none" w:sz="0" w:space="0" w:color="auto"/>
      </w:divBdr>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18472495">
      <w:bodyDiv w:val="1"/>
      <w:marLeft w:val="0"/>
      <w:marRight w:val="0"/>
      <w:marTop w:val="0"/>
      <w:marBottom w:val="0"/>
      <w:divBdr>
        <w:top w:val="none" w:sz="0" w:space="0" w:color="auto"/>
        <w:left w:val="none" w:sz="0" w:space="0" w:color="auto"/>
        <w:bottom w:val="none" w:sz="0" w:space="0" w:color="auto"/>
        <w:right w:val="none" w:sz="0" w:space="0" w:color="auto"/>
      </w:divBdr>
    </w:div>
    <w:div w:id="521936822">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60290321">
      <w:bodyDiv w:val="1"/>
      <w:marLeft w:val="0"/>
      <w:marRight w:val="0"/>
      <w:marTop w:val="0"/>
      <w:marBottom w:val="0"/>
      <w:divBdr>
        <w:top w:val="none" w:sz="0" w:space="0" w:color="auto"/>
        <w:left w:val="none" w:sz="0" w:space="0" w:color="auto"/>
        <w:bottom w:val="none" w:sz="0" w:space="0" w:color="auto"/>
        <w:right w:val="none" w:sz="0" w:space="0" w:color="auto"/>
      </w:divBdr>
    </w:div>
    <w:div w:id="562374171">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058993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0418176">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5528349">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68981883">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44958161">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9546268">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862340">
      <w:bodyDiv w:val="1"/>
      <w:marLeft w:val="0"/>
      <w:marRight w:val="0"/>
      <w:marTop w:val="0"/>
      <w:marBottom w:val="0"/>
      <w:divBdr>
        <w:top w:val="none" w:sz="0" w:space="0" w:color="auto"/>
        <w:left w:val="none" w:sz="0" w:space="0" w:color="auto"/>
        <w:bottom w:val="none" w:sz="0" w:space="0" w:color="auto"/>
        <w:right w:val="none" w:sz="0" w:space="0" w:color="auto"/>
      </w:divBdr>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076054">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809869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042752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6979218">
      <w:bodyDiv w:val="1"/>
      <w:marLeft w:val="0"/>
      <w:marRight w:val="0"/>
      <w:marTop w:val="0"/>
      <w:marBottom w:val="0"/>
      <w:divBdr>
        <w:top w:val="none" w:sz="0" w:space="0" w:color="auto"/>
        <w:left w:val="none" w:sz="0" w:space="0" w:color="auto"/>
        <w:bottom w:val="none" w:sz="0" w:space="0" w:color="auto"/>
        <w:right w:val="none" w:sz="0" w:space="0" w:color="auto"/>
      </w:divBdr>
    </w:div>
    <w:div w:id="1699237849">
      <w:bodyDiv w:val="1"/>
      <w:marLeft w:val="0"/>
      <w:marRight w:val="0"/>
      <w:marTop w:val="0"/>
      <w:marBottom w:val="0"/>
      <w:divBdr>
        <w:top w:val="none" w:sz="0" w:space="0" w:color="auto"/>
        <w:left w:val="none" w:sz="0" w:space="0" w:color="auto"/>
        <w:bottom w:val="none" w:sz="0" w:space="0" w:color="auto"/>
        <w:right w:val="none" w:sz="0" w:space="0" w:color="auto"/>
      </w:divBdr>
    </w:div>
    <w:div w:id="1700203796">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6312544">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1983723">
      <w:bodyDiv w:val="1"/>
      <w:marLeft w:val="0"/>
      <w:marRight w:val="0"/>
      <w:marTop w:val="0"/>
      <w:marBottom w:val="0"/>
      <w:divBdr>
        <w:top w:val="none" w:sz="0" w:space="0" w:color="auto"/>
        <w:left w:val="none" w:sz="0" w:space="0" w:color="auto"/>
        <w:bottom w:val="none" w:sz="0" w:space="0" w:color="auto"/>
        <w:right w:val="none" w:sz="0" w:space="0" w:color="auto"/>
      </w:divBdr>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17956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89228975">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238668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687DB-0066-4031-A791-2B30C2C18143}">
  <ds:schemaRefs>
    <ds:schemaRef ds:uri="http://schemas.microsoft.com/sharepoint/v3/contenttype/forms"/>
  </ds:schemaRefs>
</ds:datastoreItem>
</file>

<file path=customXml/itemProps2.xml><?xml version="1.0" encoding="utf-8"?>
<ds:datastoreItem xmlns:ds="http://schemas.openxmlformats.org/officeDocument/2006/customXml" ds:itemID="{8F91FE66-B1F7-4A4E-A041-29013A422ED8}">
  <ds:schemaRefs>
    <ds:schemaRef ds:uri="http://purl.org/dc/terms/"/>
    <ds:schemaRef ds:uri="http://schemas.openxmlformats.org/package/2006/metadata/core-properties"/>
    <ds:schemaRef ds:uri="http://schemas.microsoft.com/office/2006/documentManagement/types"/>
    <ds:schemaRef ds:uri="5a3c5dcd-4948-4155-8133-6a43cadb3123"/>
    <ds:schemaRef ds:uri="http://purl.org/dc/elements/1.1/"/>
    <ds:schemaRef ds:uri="http://schemas.microsoft.com/office/2006/metadata/properties"/>
    <ds:schemaRef ds:uri="http://schemas.microsoft.com/office/infopath/2007/PartnerControls"/>
    <ds:schemaRef ds:uri="2a6d68b1-f7aa-4b67-96a6-b9a905dcefc0"/>
    <ds:schemaRef ds:uri="http://www.w3.org/XML/1998/namespace"/>
    <ds:schemaRef ds:uri="http://purl.org/dc/dcmitype/"/>
  </ds:schemaRefs>
</ds:datastoreItem>
</file>

<file path=customXml/itemProps3.xml><?xml version="1.0" encoding="utf-8"?>
<ds:datastoreItem xmlns:ds="http://schemas.openxmlformats.org/officeDocument/2006/customXml" ds:itemID="{05E05877-7C8B-4651-9029-B9FECEE75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237B23-0859-45BB-9143-63085EC19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1705</Words>
  <Characters>9724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2021-04-02T17:20:00Z</dcterms:created>
  <dcterms:modified xsi:type="dcterms:W3CDTF">2021-04-02T17:20:00Z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